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8D6C7">
      <w:pPr>
        <w:pStyle w:val="3"/>
        <w:bidi w:val="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附件1：</w:t>
      </w:r>
    </w:p>
    <w:p w14:paraId="4E319FD2">
      <w:pPr>
        <w:pStyle w:val="3"/>
        <w:bidi w:val="0"/>
        <w:jc w:val="center"/>
        <w:rPr>
          <w:rFonts w:hint="eastAsia" w:ascii="仿宋" w:hAnsi="仿宋" w:eastAsia="仿宋" w:cs="仿宋"/>
          <w:lang w:val="en-US" w:eastAsia="zh-CN"/>
        </w:rPr>
      </w:pPr>
      <w:r>
        <w:rPr>
          <w:rFonts w:hint="eastAsia" w:ascii="仿宋" w:hAnsi="仿宋" w:eastAsia="仿宋" w:cs="仿宋"/>
          <w:sz w:val="28"/>
          <w:szCs w:val="28"/>
          <w:lang w:val="en-US" w:eastAsia="zh-CN"/>
        </w:rPr>
        <w:t>传染病监测管理信息系统项目需求</w:t>
      </w:r>
    </w:p>
    <w:p w14:paraId="7CE780A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1.1</w:t>
      </w:r>
      <w:r>
        <w:rPr>
          <w:rFonts w:hint="eastAsia" w:ascii="仿宋" w:hAnsi="仿宋" w:eastAsia="仿宋" w:cs="仿宋"/>
          <w:b/>
          <w:bCs/>
          <w:sz w:val="28"/>
          <w:szCs w:val="28"/>
        </w:rPr>
        <w:t>项目总体要求</w:t>
      </w:r>
    </w:p>
    <w:p w14:paraId="3850E3A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包含传染病、肿瘤、死亡、食源性疾病等病历的相关管理工作</w:t>
      </w:r>
      <w:r>
        <w:rPr>
          <w:rFonts w:hint="eastAsia" w:ascii="仿宋" w:hAnsi="仿宋" w:eastAsia="仿宋" w:cs="仿宋"/>
          <w:b w:val="0"/>
          <w:bCs w:val="0"/>
          <w:sz w:val="28"/>
          <w:szCs w:val="28"/>
          <w:lang w:eastAsia="zh-CN"/>
        </w:rPr>
        <w:t>；</w:t>
      </w:r>
    </w:p>
    <w:p w14:paraId="7CC5152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 xml:space="preserve">    传染病病历实时监测</w:t>
      </w:r>
      <w:r>
        <w:rPr>
          <w:rFonts w:hint="eastAsia" w:ascii="仿宋" w:hAnsi="仿宋" w:eastAsia="仿宋" w:cs="仿宋"/>
          <w:b w:val="0"/>
          <w:bCs w:val="0"/>
          <w:sz w:val="28"/>
          <w:szCs w:val="28"/>
          <w:lang w:eastAsia="zh-CN"/>
        </w:rPr>
        <w:t>；</w:t>
      </w:r>
    </w:p>
    <w:p w14:paraId="45BC42D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 xml:space="preserve">    数据的统计、分析、存储</w:t>
      </w:r>
      <w:r>
        <w:rPr>
          <w:rFonts w:hint="eastAsia" w:ascii="仿宋" w:hAnsi="仿宋" w:eastAsia="仿宋" w:cs="仿宋"/>
          <w:b w:val="0"/>
          <w:bCs w:val="0"/>
          <w:sz w:val="28"/>
          <w:szCs w:val="28"/>
          <w:lang w:eastAsia="zh-CN"/>
        </w:rPr>
        <w:t>；</w:t>
      </w:r>
    </w:p>
    <w:p w14:paraId="738E824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 xml:space="preserve">    提高数据统计、分析的精确性、及时性、全面性</w:t>
      </w:r>
      <w:r>
        <w:rPr>
          <w:rFonts w:hint="eastAsia" w:ascii="仿宋" w:hAnsi="仿宋" w:eastAsia="仿宋" w:cs="仿宋"/>
          <w:b w:val="0"/>
          <w:bCs w:val="0"/>
          <w:sz w:val="28"/>
          <w:szCs w:val="28"/>
          <w:lang w:eastAsia="zh-CN"/>
        </w:rPr>
        <w:t>；</w:t>
      </w:r>
    </w:p>
    <w:p w14:paraId="1E046CB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 xml:space="preserve">    传染病病历预警、院内上报和上报到国家CDC</w:t>
      </w:r>
      <w:r>
        <w:rPr>
          <w:rFonts w:hint="eastAsia" w:ascii="仿宋" w:hAnsi="仿宋" w:eastAsia="仿宋" w:cs="仿宋"/>
          <w:b w:val="0"/>
          <w:bCs w:val="0"/>
          <w:sz w:val="28"/>
          <w:szCs w:val="28"/>
          <w:lang w:eastAsia="zh-CN"/>
        </w:rPr>
        <w:t>；</w:t>
      </w:r>
    </w:p>
    <w:p w14:paraId="5F5046F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传染病标准数据及时更新。</w:t>
      </w:r>
    </w:p>
    <w:p w14:paraId="51E2926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bCs/>
          <w:sz w:val="28"/>
          <w:szCs w:val="28"/>
        </w:rPr>
      </w:pPr>
      <w:r>
        <w:rPr>
          <w:rFonts w:hint="eastAsia" w:ascii="仿宋" w:hAnsi="仿宋" w:eastAsia="仿宋" w:cs="仿宋"/>
          <w:b w:val="0"/>
          <w:bCs w:val="0"/>
          <w:sz w:val="28"/>
          <w:szCs w:val="28"/>
        </w:rPr>
        <w:t>全面实现传染病管理信息化，提高传染病管理的工作效率，提升对临床医生的管理手段，减少医生的漏报率。</w:t>
      </w:r>
    </w:p>
    <w:p w14:paraId="6597F67D">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rPr>
        <w:t>1.</w:t>
      </w:r>
      <w:r>
        <w:rPr>
          <w:rFonts w:hint="eastAsia" w:ascii="仿宋" w:hAnsi="仿宋" w:eastAsia="仿宋" w:cs="仿宋"/>
          <w:b/>
          <w:bCs/>
          <w:sz w:val="28"/>
          <w:szCs w:val="28"/>
          <w:lang w:val="en-US" w:eastAsia="zh-CN"/>
        </w:rPr>
        <w:t>2</w:t>
      </w:r>
      <w:r>
        <w:rPr>
          <w:rFonts w:hint="eastAsia" w:ascii="仿宋" w:hAnsi="仿宋" w:eastAsia="仿宋" w:cs="仿宋"/>
          <w:b/>
          <w:bCs/>
          <w:sz w:val="28"/>
          <w:szCs w:val="28"/>
        </w:rPr>
        <w:t>项目目的与意义</w:t>
      </w:r>
    </w:p>
    <w:p w14:paraId="6096EE5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通过使用传染病监测管理信息系统，传染病监测管理信息系统直接从医院其它系统例如（</w:t>
      </w:r>
      <w:r>
        <w:rPr>
          <w:rFonts w:hint="eastAsia" w:ascii="仿宋" w:hAnsi="仿宋" w:eastAsia="仿宋" w:cs="仿宋"/>
          <w:b w:val="0"/>
          <w:bCs w:val="0"/>
          <w:sz w:val="28"/>
          <w:szCs w:val="28"/>
          <w:lang w:val="en-US" w:eastAsia="zh-CN"/>
        </w:rPr>
        <w:t>H</w:t>
      </w:r>
      <w:r>
        <w:rPr>
          <w:rFonts w:hint="eastAsia" w:ascii="仿宋" w:hAnsi="仿宋" w:eastAsia="仿宋" w:cs="仿宋"/>
          <w:b w:val="0"/>
          <w:bCs w:val="0"/>
          <w:sz w:val="28"/>
          <w:szCs w:val="28"/>
        </w:rPr>
        <w:t>IS系统、LIS系统）对接，实现对医院传染病实时检测，系统根据诊断和</w:t>
      </w:r>
      <w:r>
        <w:rPr>
          <w:rFonts w:hint="eastAsia" w:ascii="仿宋" w:hAnsi="仿宋" w:eastAsia="仿宋" w:cs="仿宋"/>
          <w:b w:val="0"/>
          <w:bCs w:val="0"/>
          <w:sz w:val="28"/>
          <w:szCs w:val="28"/>
          <w:lang w:val="en-US" w:eastAsia="zh-CN"/>
        </w:rPr>
        <w:t>检查检验</w:t>
      </w:r>
      <w:r>
        <w:rPr>
          <w:rFonts w:hint="eastAsia" w:ascii="仿宋" w:hAnsi="仿宋" w:eastAsia="仿宋" w:cs="仿宋"/>
          <w:b w:val="0"/>
          <w:bCs w:val="0"/>
          <w:sz w:val="28"/>
          <w:szCs w:val="28"/>
        </w:rPr>
        <w:t>结果自动发出预警，使医院能及时分析病因，采取相应的预防措施。传染病监测管理信息系统直接从医院其他系统提取数据，参照最新的国家传染病管理办法，实现对数据智能化预警统计、分析，可以很大程度提高数据统计效率、精度以及可靠信，节约人力成本，提升医传染病染控制的效率与质量。同时该系统系医院等级评审标准中规定必须上线的信息管理系统，有助于通过医院等级评审和电子病历评级。</w:t>
      </w:r>
    </w:p>
    <w:p w14:paraId="560F3F3B">
      <w:pPr>
        <w:pStyle w:val="6"/>
        <w:rPr>
          <w:rFonts w:hint="eastAsia" w:ascii="仿宋" w:hAnsi="仿宋" w:eastAsia="仿宋" w:cs="仿宋"/>
          <w:sz w:val="28"/>
          <w:szCs w:val="28"/>
        </w:rPr>
      </w:pPr>
    </w:p>
    <w:tbl>
      <w:tblPr>
        <w:tblStyle w:val="4"/>
        <w:tblpPr w:leftFromText="180" w:rightFromText="180" w:vertAnchor="text" w:horzAnchor="margin" w:tblpX="-152" w:tblpY="158"/>
        <w:tblW w:w="860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580"/>
        <w:gridCol w:w="7020"/>
      </w:tblGrid>
      <w:tr w14:paraId="35C37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shd w:val="clear" w:color="auto" w:fill="E6E6E6"/>
            <w:noWrap w:val="0"/>
            <w:vAlign w:val="center"/>
          </w:tcPr>
          <w:p w14:paraId="5F13C8D0">
            <w:pPr>
              <w:numPr>
                <w:ilvl w:val="0"/>
                <w:numId w:val="0"/>
              </w:numPr>
              <w:autoSpaceDN w:val="0"/>
              <w:spacing w:line="400" w:lineRule="exact"/>
              <w:ind w:firstLine="241" w:firstLineChars="100"/>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功能模块</w:t>
            </w:r>
          </w:p>
        </w:tc>
        <w:tc>
          <w:tcPr>
            <w:tcW w:w="7020" w:type="dxa"/>
            <w:shd w:val="clear" w:color="auto" w:fill="E6E6E6"/>
            <w:noWrap w:val="0"/>
            <w:vAlign w:val="center"/>
          </w:tcPr>
          <w:p w14:paraId="634AB331">
            <w:pPr>
              <w:numPr>
                <w:ilvl w:val="0"/>
                <w:numId w:val="0"/>
              </w:numPr>
              <w:autoSpaceDN w:val="0"/>
              <w:spacing w:line="400" w:lineRule="exact"/>
              <w:ind w:leftChars="0" w:firstLine="2650" w:firstLineChars="1100"/>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功能说明</w:t>
            </w:r>
          </w:p>
        </w:tc>
      </w:tr>
      <w:tr w14:paraId="0D031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554AD7E5">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bookmarkStart w:id="0" w:name="_Hlk387336555"/>
            <w:bookmarkStart w:id="1" w:name="OLE_LINK3" w:colFirst="3" w:colLast="3"/>
            <w:bookmarkStart w:id="2" w:name="OLE_LINK2" w:colFirst="3" w:colLast="3"/>
            <w:bookmarkStart w:id="3" w:name="OLE_LINK4" w:colFirst="3" w:colLast="3"/>
            <w:bookmarkStart w:id="4" w:name="OLE_LINK5" w:colFirst="3" w:colLast="3"/>
            <w:bookmarkStart w:id="5" w:name="OLE_LINK1" w:colFirst="3" w:colLast="3"/>
            <w:r>
              <w:rPr>
                <w:rFonts w:hint="eastAsia" w:ascii="仿宋" w:hAnsi="仿宋" w:eastAsia="仿宋" w:cs="仿宋"/>
                <w:b/>
                <w:bCs w:val="0"/>
                <w:color w:val="000000"/>
                <w:sz w:val="24"/>
                <w:szCs w:val="24"/>
                <w:lang w:val="en-US" w:eastAsia="zh-CN"/>
              </w:rPr>
              <w:t>数据对接</w:t>
            </w:r>
          </w:p>
        </w:tc>
        <w:tc>
          <w:tcPr>
            <w:tcW w:w="7020" w:type="dxa"/>
            <w:noWrap w:val="0"/>
            <w:vAlign w:val="top"/>
          </w:tcPr>
          <w:p w14:paraId="3662B741">
            <w:pPr>
              <w:numPr>
                <w:ilvl w:val="0"/>
                <w:numId w:val="0"/>
              </w:numPr>
              <w:autoSpaceDN w:val="0"/>
              <w:spacing w:line="400" w:lineRule="exact"/>
              <w:ind w:leftChars="0"/>
              <w:rPr>
                <w:rFonts w:hint="eastAsia" w:ascii="仿宋" w:hAnsi="仿宋" w:eastAsia="仿宋" w:cs="仿宋"/>
                <w:sz w:val="24"/>
                <w:szCs w:val="24"/>
                <w:lang w:val="en-US" w:eastAsia="zh-CN"/>
              </w:rPr>
            </w:pPr>
            <w:r>
              <w:rPr>
                <w:rFonts w:hint="eastAsia" w:ascii="仿宋" w:hAnsi="仿宋" w:eastAsia="仿宋" w:cs="仿宋"/>
                <w:color w:val="000000"/>
                <w:sz w:val="24"/>
                <w:szCs w:val="24"/>
                <w:lang w:val="en-US" w:eastAsia="zh-CN"/>
              </w:rPr>
              <w:t>对接HIS、LIS、RIS，电子病历、手术麻醉等数据，如：患者基本情况、转科、诊</w:t>
            </w:r>
            <w:r>
              <w:rPr>
                <w:rFonts w:hint="eastAsia" w:ascii="仿宋" w:hAnsi="仿宋" w:eastAsia="仿宋" w:cs="仿宋"/>
                <w:b w:val="0"/>
                <w:bCs w:val="0"/>
                <w:color w:val="000000"/>
                <w:sz w:val="24"/>
                <w:szCs w:val="24"/>
                <w:lang w:val="en-US" w:eastAsia="zh-CN"/>
              </w:rPr>
              <w:t>断、</w:t>
            </w:r>
            <w:r>
              <w:rPr>
                <w:rFonts w:hint="eastAsia" w:ascii="仿宋" w:hAnsi="仿宋" w:eastAsia="仿宋" w:cs="仿宋"/>
                <w:color w:val="000000"/>
                <w:sz w:val="24"/>
                <w:szCs w:val="24"/>
                <w:lang w:val="en-US" w:eastAsia="zh-CN"/>
              </w:rPr>
              <w:t>床位、体温、常规检查、手术、药物等病人所有电子病历详细。</w:t>
            </w:r>
          </w:p>
        </w:tc>
      </w:tr>
      <w:tr w14:paraId="461E5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2F0B781B">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医生漏报控制</w:t>
            </w:r>
          </w:p>
        </w:tc>
        <w:tc>
          <w:tcPr>
            <w:tcW w:w="7020" w:type="dxa"/>
            <w:noWrap w:val="0"/>
            <w:vAlign w:val="top"/>
          </w:tcPr>
          <w:p w14:paraId="45BA783D">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1.在医生保存诊断时自动根据相关传染病关键字提示上报传染病。</w:t>
            </w:r>
          </w:p>
          <w:p w14:paraId="0E6980F3">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2.自动判断是否已报，防止重复上报。</w:t>
            </w:r>
          </w:p>
          <w:p w14:paraId="191F2836">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3.提醒后控制不能进行下一步，否则输入不报理由。</w:t>
            </w:r>
          </w:p>
          <w:p w14:paraId="46ECABE0">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4.记录不报理由，事后定期自动提醒医生。</w:t>
            </w:r>
          </w:p>
        </w:tc>
      </w:tr>
      <w:tr w14:paraId="7018C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04817DB0">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系统自动预警</w:t>
            </w:r>
          </w:p>
        </w:tc>
        <w:tc>
          <w:tcPr>
            <w:tcW w:w="7020" w:type="dxa"/>
            <w:noWrap w:val="0"/>
            <w:vAlign w:val="top"/>
          </w:tcPr>
          <w:p w14:paraId="01D8EC1F">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1.新上报的传染病病例提示。</w:t>
            </w:r>
          </w:p>
          <w:p w14:paraId="3E302358">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2.智能预警在院疑似传染病病例；系统可根据诊断信息和检验信息预警疑似但未报病例。</w:t>
            </w:r>
          </w:p>
        </w:tc>
      </w:tr>
      <w:tr w14:paraId="45408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3D957731">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传染病上报</w:t>
            </w:r>
          </w:p>
        </w:tc>
        <w:tc>
          <w:tcPr>
            <w:tcW w:w="7020" w:type="dxa"/>
            <w:noWrap w:val="0"/>
            <w:vAlign w:val="center"/>
          </w:tcPr>
          <w:p w14:paraId="186525EB">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1.医生工作站上报传染病病例，代替传统的手工纸质上报卡。</w:t>
            </w:r>
          </w:p>
          <w:p w14:paraId="058DD48E">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2.在上报卡中，临床医生只需要输入病人的住院号就可以调出传染病报卡中所需要的电子病历信息，医生只需选填好相关信息,快速方便。</w:t>
            </w:r>
          </w:p>
          <w:p w14:paraId="7D77EBDE">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3.按照《中华人民共和国传染病报告卡》填卡说明控制相关必填项，和相关逻辑自动关联和智能处理，提高医生上报效率</w:t>
            </w:r>
          </w:p>
          <w:p w14:paraId="49C9944C">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4.系统能自动预警提示新的上报卡.必须能从诊断预警，还能从化验结果预警，并且诊断和化验结果的关键字可以自定义设置，可灵活调整。</w:t>
            </w:r>
          </w:p>
          <w:p w14:paraId="77FD8CC7">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5.管理部门能对上报的病例进行收集和管理,可以直接查看病人的详细电子病例信息,可以审核,确认等操作。</w:t>
            </w:r>
          </w:p>
          <w:p w14:paraId="0C9C33BA">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6.重卡提醒：填写报卡之前自动提醒医生是否重卡；上报时，根据患者唯一信息，主动显示报次，辅助管理部门审核是否有效。</w:t>
            </w:r>
          </w:p>
          <w:p w14:paraId="2E86E2A1">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7.报卡审核：对临床上报的报卡进行审核、退卡、删卡等操作，支持退卡和删卡需要填写相关原因</w:t>
            </w:r>
          </w:p>
          <w:p w14:paraId="48C6BC87">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8.支持相关附卡，如：艾滋病附卡、乙肝附卡、手足口病附卡等</w:t>
            </w:r>
          </w:p>
          <w:p w14:paraId="674749D0">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9.支持审核和打印报卡，支持报卡批量导出excel等格式</w:t>
            </w:r>
          </w:p>
        </w:tc>
      </w:tr>
      <w:tr w14:paraId="719EB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76D5CE54">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相关统计</w:t>
            </w:r>
          </w:p>
        </w:tc>
        <w:tc>
          <w:tcPr>
            <w:tcW w:w="7020" w:type="dxa"/>
            <w:noWrap w:val="0"/>
            <w:vAlign w:val="center"/>
          </w:tcPr>
          <w:p w14:paraId="3A94720A">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1.传染病登记汇总表，各种统计表和图示，如按科室分布统计，按传染病名分布统计，按年龄分布统计，</w:t>
            </w:r>
          </w:p>
          <w:p w14:paraId="09EB875D">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2.各统计表可查趋势，可追踪到个案，可看详细病例</w:t>
            </w:r>
          </w:p>
          <w:p w14:paraId="70ED57B5">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3.综合所有类型的报卡进行统计，包括工作量统计和同比环比统计</w:t>
            </w:r>
          </w:p>
          <w:p w14:paraId="667681EC">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4.传染病分析：包括年龄分布、病种分布、人群分布、地区分布相关。</w:t>
            </w:r>
          </w:p>
        </w:tc>
      </w:tr>
      <w:tr w14:paraId="7C5A8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1A0D3A9F">
            <w:pPr>
              <w:numPr>
                <w:ilvl w:val="0"/>
                <w:numId w:val="0"/>
              </w:numPr>
              <w:autoSpaceDN w:val="0"/>
              <w:spacing w:line="400" w:lineRule="exact"/>
              <w:ind w:left="0" w:leftChars="0" w:firstLine="0" w:firstLineChars="0"/>
              <w:rPr>
                <w:rFonts w:hint="eastAsia" w:ascii="仿宋" w:hAnsi="仿宋" w:eastAsia="仿宋" w:cs="仿宋"/>
                <w:b/>
                <w:bCs w:val="0"/>
                <w:color w:val="000000"/>
                <w:kern w:val="2"/>
                <w:sz w:val="24"/>
                <w:szCs w:val="24"/>
                <w:lang w:val="en-US" w:eastAsia="zh-CN" w:bidi="ar-SA"/>
              </w:rPr>
            </w:pPr>
            <w:r>
              <w:rPr>
                <w:rFonts w:hint="eastAsia" w:ascii="仿宋" w:hAnsi="仿宋" w:eastAsia="仿宋" w:cs="仿宋"/>
                <w:b/>
                <w:bCs w:val="0"/>
                <w:color w:val="000000"/>
                <w:sz w:val="24"/>
                <w:szCs w:val="24"/>
                <w:lang w:val="en-US" w:eastAsia="zh-CN"/>
              </w:rPr>
              <w:t>心脑血管病例上报</w:t>
            </w:r>
          </w:p>
        </w:tc>
        <w:tc>
          <w:tcPr>
            <w:tcW w:w="7020" w:type="dxa"/>
            <w:noWrap w:val="0"/>
            <w:vAlign w:val="top"/>
          </w:tcPr>
          <w:p w14:paraId="1A9CD5DD">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1.医生工作站上报病例，代替传统的手工纸质上报卡。</w:t>
            </w:r>
          </w:p>
          <w:p w14:paraId="45B8AEFC">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2.系统自动预警提示新的上报卡.管理科对上报的病例进行收集和管理,可以直接查看病人的详细信息,可以修改,审核,确认等操作及发送消息到临床。</w:t>
            </w:r>
          </w:p>
          <w:p w14:paraId="2DF2023B">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4.病例登记汇总表，各种统计表和图示，如按科室分布统计，按病名分布统计，按年龄分布统计等</w:t>
            </w:r>
          </w:p>
          <w:p w14:paraId="47E251F5">
            <w:pPr>
              <w:numPr>
                <w:ilvl w:val="0"/>
                <w:numId w:val="0"/>
              </w:numPr>
              <w:autoSpaceDN w:val="0"/>
              <w:spacing w:line="400" w:lineRule="exact"/>
              <w:ind w:left="0" w:leftChars="0" w:firstLine="0" w:firstLineChars="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5.各统计表可查趋势，可追踪到个案，可看详细病例</w:t>
            </w:r>
          </w:p>
        </w:tc>
      </w:tr>
      <w:tr w14:paraId="5846B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23A9230A">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bookmarkStart w:id="6" w:name="_GoBack"/>
            <w:bookmarkEnd w:id="6"/>
            <w:r>
              <w:rPr>
                <w:rFonts w:hint="eastAsia" w:ascii="仿宋" w:hAnsi="仿宋" w:eastAsia="仿宋" w:cs="仿宋"/>
                <w:b/>
                <w:bCs w:val="0"/>
                <w:color w:val="000000"/>
                <w:sz w:val="24"/>
                <w:szCs w:val="24"/>
                <w:lang w:val="en-US" w:eastAsia="zh-CN"/>
              </w:rPr>
              <w:t>肿瘤病例上报</w:t>
            </w:r>
          </w:p>
        </w:tc>
        <w:tc>
          <w:tcPr>
            <w:tcW w:w="7020" w:type="dxa"/>
            <w:noWrap w:val="0"/>
            <w:vAlign w:val="center"/>
          </w:tcPr>
          <w:p w14:paraId="0D8FE8C1">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1.医生工作站上报病例，代替传统的手工纸质上报卡。</w:t>
            </w:r>
          </w:p>
          <w:p w14:paraId="2D657918">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2.系统能根据诊断预警提示疑似未报病例；</w:t>
            </w:r>
          </w:p>
          <w:p w14:paraId="0B184E25">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3.系统自动预警提示新的上报卡.管理科对上报的病例进行收集和管理,可以直接查看病人的详细信息,可以修改,审核,确认等操作及发送消息到临床。</w:t>
            </w:r>
          </w:p>
          <w:p w14:paraId="55B57940">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4.病例登记汇总表，各种统计表和图示，如按科室分布统计，按病名分布统计，按年龄分布统计等</w:t>
            </w:r>
          </w:p>
          <w:p w14:paraId="4D13ACEE">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5.各统计表可查趋势，可追踪到个案，可看详细病例</w:t>
            </w:r>
          </w:p>
        </w:tc>
      </w:tr>
      <w:tr w14:paraId="396EE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74CFFE75">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食源性疾病</w:t>
            </w:r>
          </w:p>
        </w:tc>
        <w:tc>
          <w:tcPr>
            <w:tcW w:w="7020" w:type="dxa"/>
            <w:noWrap w:val="0"/>
            <w:vAlign w:val="center"/>
          </w:tcPr>
          <w:p w14:paraId="7F17A57E">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1.医生工作站上报病例，代替传统的手工纸质上报卡。</w:t>
            </w:r>
          </w:p>
          <w:p w14:paraId="5DA1AA6F">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2.系统能根据诊断预警提示疑似未报病例；</w:t>
            </w:r>
          </w:p>
          <w:p w14:paraId="442EF7B7">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3.系统自动预警提示新的上报卡.管理科对上报的病例进行收集和管理,可以直接查看病人的详细信息,可以修改,审核,确认等操作及发送消息到临床。</w:t>
            </w:r>
          </w:p>
          <w:p w14:paraId="7C951E2D">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4.病例登记汇总表，各种统计表和图示，如按科室分布统计，按病名分布统计，按年龄分布统计等</w:t>
            </w:r>
          </w:p>
          <w:p w14:paraId="55634CDA">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5.各统计表可查趋势，可追踪到个案，可看详细病例</w:t>
            </w:r>
          </w:p>
        </w:tc>
      </w:tr>
      <w:tr w14:paraId="0C603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29E9B289">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死亡病例管理</w:t>
            </w:r>
          </w:p>
        </w:tc>
        <w:tc>
          <w:tcPr>
            <w:tcW w:w="7020" w:type="dxa"/>
            <w:noWrap w:val="0"/>
            <w:vAlign w:val="center"/>
          </w:tcPr>
          <w:p w14:paraId="4E0324EB">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1.医生工作站上报病例，代替传统的手工纸质上报卡。</w:t>
            </w:r>
          </w:p>
          <w:p w14:paraId="33F566D7">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2.系统能根据诊断预警提示疑似未报病例；</w:t>
            </w:r>
          </w:p>
          <w:p w14:paraId="1911CCA9">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3.系统自动预警提示新的上报卡.管理科对上报的病例进行收集和管理,可以直接查看病人的详细信息,可以修改,审核,确认等操作及发送消息到临床。</w:t>
            </w:r>
          </w:p>
          <w:p w14:paraId="23CCD41E">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4.病例登记汇总表，各种统计表和图示，如按科室分布统计，按病名分布统计，按年龄分布统计等</w:t>
            </w:r>
          </w:p>
          <w:p w14:paraId="10EE666A">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5.各统计表可查趋势，可追踪到个案，可看详细病例</w:t>
            </w:r>
          </w:p>
          <w:p w14:paraId="414485F0">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6.儿童死亡附卡</w:t>
            </w:r>
          </w:p>
          <w:p w14:paraId="742CB6B3">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7.孕产妇死亡附卡</w:t>
            </w:r>
          </w:p>
        </w:tc>
      </w:tr>
      <w:tr w14:paraId="061EA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43532B67">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高温中暑管理</w:t>
            </w:r>
          </w:p>
        </w:tc>
        <w:tc>
          <w:tcPr>
            <w:tcW w:w="7020" w:type="dxa"/>
            <w:noWrap w:val="0"/>
            <w:vAlign w:val="center"/>
          </w:tcPr>
          <w:p w14:paraId="7CD59E84">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1.能上报高温中暑病例，代替传统的手工纸质上报卡。 </w:t>
            </w:r>
          </w:p>
          <w:p w14:paraId="3FDC580D">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2.管理科室对上报的病例进行收集和管理,可以直接查看病人的详细电子病例信息,可以修改,审核,确认等操作及发送消息到临床。 </w:t>
            </w:r>
          </w:p>
          <w:p w14:paraId="2ADAEE7D">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3.相关统计 </w:t>
            </w:r>
          </w:p>
        </w:tc>
      </w:tr>
      <w:tr w14:paraId="1DCA3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751B9554">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突发公共卫生事件报告管理</w:t>
            </w:r>
          </w:p>
        </w:tc>
        <w:tc>
          <w:tcPr>
            <w:tcW w:w="7020" w:type="dxa"/>
            <w:noWrap w:val="0"/>
            <w:vAlign w:val="center"/>
          </w:tcPr>
          <w:p w14:paraId="0A73FF08">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1.能上报突发公共卫生事件，代替传统的手工纸质上报卡。 </w:t>
            </w:r>
          </w:p>
          <w:p w14:paraId="4C1C3B6F">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2.系统自动预警提示新的上报卡。管理科室对上报的病例进行收集和管理,可以直接查看病人的详细信息,可以修改,审核,确认等操作及发送消息到临床。</w:t>
            </w:r>
          </w:p>
          <w:p w14:paraId="1EE54539">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3.相关统计  </w:t>
            </w:r>
          </w:p>
        </w:tc>
      </w:tr>
      <w:tr w14:paraId="5A398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1549FCDE">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预防艾滋病、梅毒和乙肝母婴传播个案专病管理</w:t>
            </w:r>
          </w:p>
        </w:tc>
        <w:tc>
          <w:tcPr>
            <w:tcW w:w="7020" w:type="dxa"/>
            <w:noWrap w:val="0"/>
            <w:vAlign w:val="center"/>
          </w:tcPr>
          <w:p w14:paraId="265CBEED">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1.医生可以通过软件从临床科室直接将艾滋病、梅毒和乙肝母婴个案表上报至本院管理科室，软件自动获取相关患者信息，并按报卡规则和要求规范控制进行完整性报卡。</w:t>
            </w:r>
          </w:p>
          <w:p w14:paraId="6A7025CB">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2.本院管理科室可以过软件进行收集、审核、整理、汇总相关个案卡，进行工作汇总数据统计。</w:t>
            </w:r>
          </w:p>
          <w:p w14:paraId="5CF546A8">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3.相关个案卡内容包括：</w:t>
            </w:r>
          </w:p>
          <w:p w14:paraId="35C3282D">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表 2 艾滋病感染妇女及所生儿童个案登记卡（保密）</w:t>
            </w:r>
          </w:p>
          <w:p w14:paraId="35D039F0">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2-I 艾滋病感染妇女基本情况</w:t>
            </w:r>
          </w:p>
          <w:p w14:paraId="391E41D1">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2-II 艾滋病感染妇女妊娠及所生婴儿情况</w:t>
            </w:r>
          </w:p>
          <w:p w14:paraId="57B59997">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表 3 梅毒感染孕产妇及所生婴儿个案登记卡（保密）</w:t>
            </w:r>
          </w:p>
          <w:p w14:paraId="0F487F05">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3-I 梅毒感染孕产妇基本情况</w:t>
            </w:r>
          </w:p>
          <w:p w14:paraId="67BFEF8B">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3-II 梅毒感染孕产妇及所生新生儿情况</w:t>
            </w:r>
          </w:p>
          <w:p w14:paraId="129004BC">
            <w:pPr>
              <w:numPr>
                <w:ilvl w:val="0"/>
                <w:numId w:val="0"/>
              </w:numPr>
              <w:autoSpaceDN w:val="0"/>
              <w:spacing w:line="40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表 4-I 乙肝感染孕产妇及所生新生儿个案登记卡（保密）</w:t>
            </w:r>
          </w:p>
          <w:p w14:paraId="10EBCA7D">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4.相关统计</w:t>
            </w:r>
          </w:p>
        </w:tc>
      </w:tr>
      <w:tr w14:paraId="017F5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361285D3">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传染病直报国网</w:t>
            </w:r>
          </w:p>
        </w:tc>
        <w:tc>
          <w:tcPr>
            <w:tcW w:w="7020" w:type="dxa"/>
            <w:noWrap w:val="0"/>
            <w:vAlign w:val="center"/>
          </w:tcPr>
          <w:p w14:paraId="416C7093">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1.可直接从系统对接国家CDC网站，批量自动填充相关数据，并实现一键直报传染病。</w:t>
            </w:r>
          </w:p>
          <w:p w14:paraId="7A042556">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2.可数据交换上报，实现院内传染病数据通过前置交换程序或扫码自动与上级CDC平台进行数据交换</w:t>
            </w:r>
          </w:p>
          <w:p w14:paraId="5AA1F2C0">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3.可同时上报多条，可自动标识已上报等状态便于处理。</w:t>
            </w:r>
          </w:p>
          <w:p w14:paraId="673AFE81">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4.节假日短信提醒新报传染病，并能实现异地直报传染病，免去节假日值班报卡。</w:t>
            </w:r>
          </w:p>
        </w:tc>
      </w:tr>
      <w:tr w14:paraId="5B448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498EEBC4">
            <w:pPr>
              <w:numPr>
                <w:ilvl w:val="0"/>
                <w:numId w:val="0"/>
              </w:numPr>
              <w:autoSpaceDN w:val="0"/>
              <w:spacing w:line="400" w:lineRule="exact"/>
              <w:ind w:left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食源性疾病直报国网</w:t>
            </w:r>
          </w:p>
        </w:tc>
        <w:tc>
          <w:tcPr>
            <w:tcW w:w="7020" w:type="dxa"/>
            <w:noWrap w:val="0"/>
            <w:vAlign w:val="center"/>
          </w:tcPr>
          <w:p w14:paraId="3B2D6690">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1.可直接从系统对接国家网站，可数据交换上报，实现院内食源性疾病数据通过文件与上级平台进行数据交换</w:t>
            </w:r>
          </w:p>
          <w:p w14:paraId="6C6FF080">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2.可同时上报多条，可自动标识已上报等状态便于处理。</w:t>
            </w:r>
          </w:p>
        </w:tc>
      </w:tr>
      <w:tr w14:paraId="5BDFA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7808AD29">
            <w:pPr>
              <w:numPr>
                <w:ilvl w:val="0"/>
                <w:numId w:val="0"/>
              </w:numPr>
              <w:autoSpaceDN w:val="0"/>
              <w:spacing w:line="400" w:lineRule="exact"/>
              <w:ind w:left="0" w:leftChars="0" w:firstLine="0" w:firstLineChars="0"/>
              <w:rPr>
                <w:rFonts w:hint="eastAsia" w:ascii="仿宋" w:hAnsi="仿宋" w:eastAsia="仿宋" w:cs="仿宋"/>
                <w:b/>
                <w:bCs w:val="0"/>
                <w:color w:val="000000"/>
                <w:kern w:val="2"/>
                <w:sz w:val="24"/>
                <w:szCs w:val="24"/>
                <w:lang w:val="en-US" w:eastAsia="zh-CN" w:bidi="ar-SA"/>
              </w:rPr>
            </w:pPr>
            <w:r>
              <w:rPr>
                <w:rFonts w:hint="eastAsia" w:ascii="仿宋" w:hAnsi="仿宋" w:eastAsia="仿宋" w:cs="仿宋"/>
                <w:b/>
                <w:bCs w:val="0"/>
                <w:color w:val="000000"/>
                <w:sz w:val="24"/>
                <w:szCs w:val="24"/>
                <w:lang w:val="en-US" w:eastAsia="zh-CN"/>
              </w:rPr>
              <w:t>肿瘤直报国网</w:t>
            </w:r>
          </w:p>
        </w:tc>
        <w:tc>
          <w:tcPr>
            <w:tcW w:w="7020" w:type="dxa"/>
            <w:noWrap w:val="0"/>
            <w:vAlign w:val="center"/>
          </w:tcPr>
          <w:p w14:paraId="1CBB9F6F">
            <w:pPr>
              <w:numPr>
                <w:ilvl w:val="0"/>
                <w:numId w:val="0"/>
              </w:numPr>
              <w:autoSpaceDN w:val="0"/>
              <w:spacing w:line="400" w:lineRule="exact"/>
              <w:ind w:left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1.可直接从系统对接国家网站，可数据交换上报，实现院内肿瘤病例数据通过文件与上级平台进行数据交换</w:t>
            </w:r>
          </w:p>
          <w:p w14:paraId="33A11715">
            <w:pPr>
              <w:numPr>
                <w:ilvl w:val="0"/>
                <w:numId w:val="0"/>
              </w:numPr>
              <w:autoSpaceDN w:val="0"/>
              <w:spacing w:line="400" w:lineRule="exact"/>
              <w:ind w:left="0" w:leftChars="0" w:firstLine="0" w:firstLineChars="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2.可同时上报多条，可自动标识已上报等状态便于处理。</w:t>
            </w:r>
          </w:p>
        </w:tc>
      </w:tr>
      <w:tr w14:paraId="65CC2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1ACCCF4B">
            <w:pPr>
              <w:numPr>
                <w:ilvl w:val="0"/>
                <w:numId w:val="0"/>
              </w:numPr>
              <w:autoSpaceDN w:val="0"/>
              <w:spacing w:line="400" w:lineRule="exact"/>
              <w:ind w:left="0" w:leftChars="0" w:firstLine="0" w:firstLineChars="0"/>
              <w:rPr>
                <w:rFonts w:hint="eastAsia" w:ascii="仿宋" w:hAnsi="仿宋" w:eastAsia="仿宋" w:cs="仿宋"/>
                <w:b/>
                <w:bCs w:val="0"/>
                <w:color w:val="000000"/>
                <w:sz w:val="24"/>
                <w:szCs w:val="24"/>
                <w:lang w:val="en-US" w:eastAsia="zh-CN"/>
              </w:rPr>
            </w:pPr>
            <w:r>
              <w:rPr>
                <w:rFonts w:hint="eastAsia" w:ascii="仿宋" w:hAnsi="仿宋" w:eastAsia="仿宋" w:cs="仿宋"/>
                <w:b/>
                <w:bCs w:val="0"/>
                <w:color w:val="000000"/>
                <w:sz w:val="24"/>
                <w:szCs w:val="24"/>
                <w:lang w:val="en-US" w:eastAsia="zh-CN"/>
              </w:rPr>
              <w:t>其它病例监测管理</w:t>
            </w:r>
          </w:p>
        </w:tc>
        <w:tc>
          <w:tcPr>
            <w:tcW w:w="7020" w:type="dxa"/>
            <w:noWrap w:val="0"/>
            <w:vAlign w:val="center"/>
          </w:tcPr>
          <w:p w14:paraId="1ADA811C">
            <w:pPr>
              <w:numPr>
                <w:ilvl w:val="0"/>
                <w:numId w:val="0"/>
              </w:numPr>
              <w:autoSpaceDN w:val="0"/>
              <w:spacing w:line="400" w:lineRule="exact"/>
              <w:ind w:left="0" w:leftChars="0" w:firstLine="0" w:firstLine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重点慢病监测管理</w:t>
            </w:r>
          </w:p>
          <w:p w14:paraId="6C72ABA6">
            <w:pPr>
              <w:numPr>
                <w:ilvl w:val="0"/>
                <w:numId w:val="0"/>
              </w:numPr>
              <w:autoSpaceDN w:val="0"/>
              <w:spacing w:line="400" w:lineRule="exact"/>
              <w:ind w:left="0" w:leftChars="0" w:firstLine="0" w:firstLine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农药中毒监测管理</w:t>
            </w:r>
          </w:p>
          <w:p w14:paraId="528E5E67">
            <w:pPr>
              <w:numPr>
                <w:ilvl w:val="0"/>
                <w:numId w:val="0"/>
              </w:numPr>
              <w:autoSpaceDN w:val="0"/>
              <w:spacing w:line="400" w:lineRule="exact"/>
              <w:ind w:left="0" w:leftChars="0" w:firstLine="0" w:firstLine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慢性阻肺监测管理</w:t>
            </w:r>
          </w:p>
          <w:p w14:paraId="48B91AB8">
            <w:pPr>
              <w:numPr>
                <w:ilvl w:val="0"/>
                <w:numId w:val="0"/>
              </w:numPr>
              <w:autoSpaceDN w:val="0"/>
              <w:spacing w:line="400" w:lineRule="exact"/>
              <w:ind w:left="0" w:leftChars="0" w:firstLine="0" w:firstLine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职业病监测管理</w:t>
            </w:r>
          </w:p>
          <w:p w14:paraId="0C79AA38">
            <w:pPr>
              <w:numPr>
                <w:ilvl w:val="0"/>
                <w:numId w:val="0"/>
              </w:numPr>
              <w:autoSpaceDN w:val="0"/>
              <w:spacing w:line="400" w:lineRule="exact"/>
              <w:ind w:left="0" w:leftChars="0" w:firstLine="0" w:firstLine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伤害性监测管理</w:t>
            </w:r>
          </w:p>
          <w:p w14:paraId="604CCCD3">
            <w:pPr>
              <w:numPr>
                <w:ilvl w:val="0"/>
                <w:numId w:val="0"/>
              </w:numPr>
              <w:autoSpaceDN w:val="0"/>
              <w:spacing w:line="400" w:lineRule="exact"/>
              <w:ind w:left="0" w:leftChars="0" w:firstLine="0" w:firstLine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流感监测管理</w:t>
            </w:r>
          </w:p>
          <w:p w14:paraId="47BC0FAE">
            <w:pPr>
              <w:numPr>
                <w:ilvl w:val="0"/>
                <w:numId w:val="0"/>
              </w:numPr>
              <w:autoSpaceDN w:val="0"/>
              <w:spacing w:line="400" w:lineRule="exact"/>
              <w:ind w:left="0" w:leftChars="0" w:firstLine="0" w:firstLine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发热监测管理</w:t>
            </w:r>
          </w:p>
          <w:p w14:paraId="380A52F2">
            <w:pPr>
              <w:numPr>
                <w:ilvl w:val="0"/>
                <w:numId w:val="0"/>
              </w:numPr>
              <w:autoSpaceDN w:val="0"/>
              <w:spacing w:line="400" w:lineRule="exact"/>
              <w:ind w:left="0" w:leftChars="0" w:firstLine="0" w:firstLine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一氧化碳中毒监测管理</w:t>
            </w:r>
          </w:p>
          <w:p w14:paraId="1A9C9B36">
            <w:pPr>
              <w:numPr>
                <w:ilvl w:val="0"/>
                <w:numId w:val="0"/>
              </w:numPr>
              <w:autoSpaceDN w:val="0"/>
              <w:spacing w:line="400" w:lineRule="exact"/>
              <w:ind w:left="0" w:leftChars="0" w:firstLine="0" w:firstLine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农药中毒监测管理</w:t>
            </w:r>
          </w:p>
          <w:p w14:paraId="5D5E8422">
            <w:pPr>
              <w:numPr>
                <w:ilvl w:val="0"/>
                <w:numId w:val="0"/>
              </w:numPr>
              <w:autoSpaceDN w:val="0"/>
              <w:spacing w:line="400" w:lineRule="exact"/>
              <w:ind w:left="0" w:leftChars="0" w:firstLine="0" w:firstLineChars="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高温中署监测管理</w:t>
            </w:r>
          </w:p>
          <w:p w14:paraId="327C4E31">
            <w:pPr>
              <w:numPr>
                <w:ilvl w:val="0"/>
                <w:numId w:val="0"/>
              </w:numPr>
              <w:autoSpaceDN w:val="0"/>
              <w:spacing w:line="400" w:lineRule="exact"/>
              <w:ind w:left="0" w:leftChars="0" w:firstLine="0" w:firstLineChars="0"/>
              <w:rPr>
                <w:rFonts w:hint="eastAsia" w:ascii="仿宋" w:hAnsi="仿宋" w:eastAsia="仿宋" w:cs="仿宋"/>
                <w:b/>
                <w:color w:val="000000"/>
                <w:sz w:val="24"/>
                <w:szCs w:val="24"/>
                <w:lang w:val="en-US" w:eastAsia="zh-CN"/>
              </w:rPr>
            </w:pPr>
            <w:r>
              <w:rPr>
                <w:rFonts w:hint="eastAsia" w:ascii="仿宋" w:hAnsi="仿宋" w:eastAsia="仿宋" w:cs="仿宋"/>
                <w:color w:val="000000"/>
                <w:sz w:val="24"/>
                <w:szCs w:val="24"/>
                <w:lang w:val="en-US" w:eastAsia="zh-CN"/>
              </w:rPr>
              <w:t>各科室VCT月报，艾滋病月报，常规疫苗月报管理等</w:t>
            </w:r>
          </w:p>
        </w:tc>
      </w:tr>
      <w:tr w14:paraId="64512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46" w:hRule="atLeast"/>
        </w:trPr>
        <w:tc>
          <w:tcPr>
            <w:tcW w:w="1580" w:type="dxa"/>
            <w:tcBorders>
              <w:left w:val="single" w:color="auto" w:sz="4" w:space="0"/>
            </w:tcBorders>
            <w:noWrap w:val="0"/>
            <w:vAlign w:val="center"/>
          </w:tcPr>
          <w:p w14:paraId="37358D88">
            <w:pPr>
              <w:pStyle w:val="3"/>
              <w:spacing w:line="360" w:lineRule="auto"/>
              <w:rPr>
                <w:rFonts w:hint="eastAsia" w:ascii="仿宋" w:hAnsi="仿宋" w:eastAsia="仿宋" w:cs="仿宋"/>
                <w:b/>
                <w:bCs w:val="0"/>
                <w:color w:val="000000"/>
                <w:kern w:val="2"/>
                <w:sz w:val="24"/>
                <w:szCs w:val="24"/>
                <w:lang w:val="en-US" w:eastAsia="zh-CN" w:bidi="ar-SA"/>
              </w:rPr>
            </w:pPr>
            <w:r>
              <w:rPr>
                <w:rFonts w:hint="eastAsia" w:ascii="仿宋" w:hAnsi="仿宋" w:eastAsia="仿宋" w:cs="仿宋"/>
                <w:b/>
                <w:bCs w:val="0"/>
                <w:color w:val="000000"/>
                <w:kern w:val="2"/>
                <w:sz w:val="24"/>
                <w:szCs w:val="24"/>
                <w:lang w:val="en-US" w:eastAsia="zh-CN" w:bidi="ar-SA"/>
              </w:rPr>
              <w:t>严重精神病障碍管理</w:t>
            </w:r>
          </w:p>
        </w:tc>
        <w:tc>
          <w:tcPr>
            <w:tcW w:w="7020" w:type="dxa"/>
            <w:noWrap w:val="0"/>
            <w:vAlign w:val="center"/>
          </w:tcPr>
          <w:p w14:paraId="619A4DD9">
            <w:pPr>
              <w:autoSpaceDN w:val="0"/>
              <w:spacing w:line="400" w:lineRule="exact"/>
              <w:rPr>
                <w:rFonts w:hint="eastAsia" w:ascii="仿宋" w:hAnsi="仿宋" w:eastAsia="仿宋" w:cs="仿宋"/>
                <w:kern w:val="0"/>
                <w:sz w:val="24"/>
                <w:szCs w:val="24"/>
                <w:lang w:val="en-US" w:eastAsia="zh-CN" w:bidi="ar"/>
              </w:rPr>
            </w:pPr>
            <w:r>
              <w:rPr>
                <w:rFonts w:hint="eastAsia" w:ascii="仿宋" w:hAnsi="仿宋" w:eastAsia="仿宋" w:cs="仿宋"/>
                <w:color w:val="000000"/>
                <w:sz w:val="24"/>
                <w:szCs w:val="24"/>
                <w:lang w:val="en-US" w:eastAsia="zh-CN"/>
              </w:rPr>
              <w:t>严重精神病障碍上报及审核等管理</w:t>
            </w:r>
          </w:p>
        </w:tc>
      </w:tr>
      <w:bookmarkEnd w:id="0"/>
      <w:bookmarkEnd w:id="1"/>
      <w:bookmarkEnd w:id="2"/>
      <w:bookmarkEnd w:id="3"/>
      <w:bookmarkEnd w:id="4"/>
      <w:bookmarkEnd w:id="5"/>
    </w:tbl>
    <w:p w14:paraId="4452EE85">
      <w:pPr>
        <w:rPr>
          <w:rFonts w:hint="eastAsia"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pPr>
      <w:r>
        <w:separator/>
      </w:r>
    </w:p>
  </w:footnote>
  <w:footnote w:type="continuationSeparator" w:id="1">
    <w:p>
      <w:pPr>
        <w:spacing w:line="312"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5ZWNmODk5NzJhMDk0MmE3NDE0MDY1MzVkYmM2NGUifQ=="/>
  </w:docVars>
  <w:rsids>
    <w:rsidRoot w:val="477F54A5"/>
    <w:rsid w:val="026B6515"/>
    <w:rsid w:val="165E2193"/>
    <w:rsid w:val="203626D9"/>
    <w:rsid w:val="20A22124"/>
    <w:rsid w:val="477F54A5"/>
    <w:rsid w:val="619074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12" w:lineRule="auto"/>
      <w:jc w:val="both"/>
    </w:pPr>
    <w:rPr>
      <w:rFonts w:ascii="Calibri" w:hAnsi="Calibri" w:eastAsia="宋体" w:cs="黑体"/>
      <w:kern w:val="2"/>
      <w:sz w:val="24"/>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 w:val="20"/>
      <w:szCs w:val="20"/>
    </w:rPr>
  </w:style>
  <w:style w:type="paragraph" w:customStyle="1" w:styleId="6">
    <w:name w:val="文档正文"/>
    <w:basedOn w:val="1"/>
    <w:qFormat/>
    <w:uiPriority w:val="0"/>
    <w:rPr>
      <w:rFonts w:ascii="Arial" w:hAnsi="Arial" w:cs="Arial"/>
      <w:bCs/>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1695</Words>
  <Characters>1806</Characters>
  <Lines>0</Lines>
  <Paragraphs>0</Paragraphs>
  <TotalTime>9</TotalTime>
  <ScaleCrop>false</ScaleCrop>
  <LinksUpToDate>false</LinksUpToDate>
  <CharactersWithSpaces>1818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2023-09-21T01:19:00Z</dcterms:created>
  <dc:creator>雪莉永远的苏格爸爸</dc:creator>
  <cp:lastModifiedBy>雪莉永远的苏格爸爸</cp:lastModifiedBy>
  <dcterms:modified xsi:type="dcterms:W3CDTF">2024-09-11T08:15:56Z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667152FBF3544EED861DBC3DDFCDAEB4_11</vt:lpwstr>
  </property>
</Properties>
</file>