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2A5AB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医用自动跟踪防护屏</w:t>
      </w:r>
    </w:p>
    <w:p w14:paraId="3B85134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电源电压： AC220V±22V；</w:t>
      </w:r>
    </w:p>
    <w:p w14:paraId="067E200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防护帘铅当量：0.5mmPb；</w:t>
      </w:r>
    </w:p>
    <w:p w14:paraId="6E595EC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防护帘尺寸：上防护帘尺寸长*宽为≧800mm*380mm；下防护帘尺寸长*宽为≧800mm*475mm ；</w:t>
      </w:r>
    </w:p>
    <w:p w14:paraId="39AFA9F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高度调节范围（mm）：500～2050；</w:t>
      </w:r>
    </w:p>
    <w:p w14:paraId="3A4840F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支持拍片规格（英寸）：支持7*14，10*14，14*14，17*14及自定义拍片规格；</w:t>
      </w:r>
    </w:p>
    <w:p w14:paraId="24584F2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防护帘预置位置误差：不大于±5mm；</w:t>
      </w:r>
    </w:p>
    <w:p w14:paraId="5E49594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具备放射检查专用语音提示功能；探测器自动跟踪定位功能；</w:t>
      </w:r>
    </w:p>
    <w:p w14:paraId="105E52E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与原有设备对接方式：无缝集成，对原有设备不做任何改变和破坏；</w:t>
      </w:r>
    </w:p>
    <w:p w14:paraId="729A8B4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上下帘分别用1.2mm厚铝板夹紧；</w:t>
      </w:r>
    </w:p>
    <w:p w14:paraId="4745D8C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 xml:space="preserve">底座的两侧及后侧，带有可调节伸缩支撑架，可最大伸出150mm 。 </w:t>
      </w:r>
    </w:p>
    <w:p w14:paraId="381AA689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</w:p>
    <w:p w14:paraId="1884116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生物显微镜</w:t>
      </w:r>
    </w:p>
    <w:p w14:paraId="5AE8A271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光学系统：无限远光学系统，根据需要可以增加各种不同的附件，实现多种功能，拓展应用空间；</w:t>
      </w:r>
    </w:p>
    <w:p w14:paraId="7FC33496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观察筒：30°倾斜,铰链式三目观察筒,铰链组可360°旋转,改变眼点高度眼点,固定式目镜筒，瞳距调节范围48-76mm，固定式分光比，双目：三目=50:50；</w:t>
      </w:r>
    </w:p>
    <w:p w14:paraId="17E4B645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目镜：高眼点、大视野、平场目镜，PL10X/22mm；</w:t>
      </w:r>
    </w:p>
    <w:p w14:paraId="546B7D9C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物镜转换器：内定位五孔转换器；</w:t>
      </w:r>
    </w:p>
    <w:p w14:paraId="7F305A95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物镜：无限远平场半复消色差荧光物镜10X/N.A≧0.3，20X/N.A.≧0.50，40X/ N.A.≧0.75（带缓冲装置），100X/ N.A.≧1.28（带缓冲装置）；</w:t>
      </w:r>
    </w:p>
    <w:p w14:paraId="2FB89CB8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照明系统：自适应100V-240V开关电源，单颗高亮度5W LED，冷色色温4750K-5500K，光强连续可调，支持充电宝供电（须支持PD协议）且带ECO功能；</w:t>
      </w:r>
    </w:p>
    <w:p w14:paraId="035F5C09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载物台：双层复合机械移动平台，双切片（载玻片）夹，移动范围：78mm×51mm；精度:0.1mm{X轴单线轨传动}；</w:t>
      </w:r>
    </w:p>
    <w:p w14:paraId="7763A671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聚光镜：N.A.1.25柯拉照明聚光镜组，聚光镜预调中，带视场光阑；</w:t>
      </w:r>
    </w:p>
    <w:p w14:paraId="1C5B36C1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荧光系统：带通LED荧光中间模块，具有荧光强度调节功能，并能进行明场和荧光的切换控制；</w:t>
      </w:r>
    </w:p>
    <w:p w14:paraId="7C6C649F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配CCD 相机；</w:t>
      </w:r>
    </w:p>
    <w:p w14:paraId="7DF511C3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通过医疗器械注册，一类备案，具有权威机构出具的产品检测报告。</w:t>
      </w:r>
    </w:p>
    <w:p w14:paraId="18ED805E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</w:p>
    <w:p w14:paraId="6A36FA0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核酸分子杂交仪</w:t>
      </w:r>
    </w:p>
    <w:p w14:paraId="3AD592E0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32通道双模块设计，可以实现2个模块不同的程序独立运行；</w:t>
      </w:r>
    </w:p>
    <w:p w14:paraId="2EF8A9CF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控温精度：±0.03℃，恒流式控制电路，功率输出平滑；</w:t>
      </w:r>
    </w:p>
    <w:p w14:paraId="485A1CC3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电容式触摸屏，Win10操作系统；内置20G Flash存储器，可保存多达4万条实验数据；</w:t>
      </w:r>
    </w:p>
    <w:p w14:paraId="1C3694AC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 xml:space="preserve">强大的软件分析功能，自动判读结果并出具药物基因PGx报告，符合《临床基因检验诊断报告模式专家共识》，并给出用药建议； </w:t>
      </w:r>
    </w:p>
    <w:p w14:paraId="3D408257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暗箱式反应槽 ，避免背景噪声；</w:t>
      </w:r>
    </w:p>
    <w:p w14:paraId="4FE6D9A2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采用LED光源设计，节能环保，使用寿命长，免维护；</w:t>
      </w:r>
    </w:p>
    <w:p w14:paraId="71ABC5AC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独特的吸合式电磁锁盖技术，防止热盖意外打开而导致实验失败；</w:t>
      </w:r>
    </w:p>
    <w:p w14:paraId="5F07B775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具有过流、过温、掉电数据自恢复等保护功能，确保实验安全运行；</w:t>
      </w:r>
    </w:p>
    <w:p w14:paraId="55F45B78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可适配冻干粉试剂，无需冷链运输，稳定性优异；</w:t>
      </w:r>
    </w:p>
    <w:p w14:paraId="28687447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可适配药物基因分子杂交项目，包括但不限于抗凝药物检测，高血压五大常规药物检测，叶酸代谢检测，他汀类药物检测，血管扩张类药物检测，痛风及高尿酸血症药物检测，抗癫痫及抑郁类药物检测，静脉血栓风险评估检测等17大类，百余种药物。</w:t>
      </w:r>
    </w:p>
    <w:p w14:paraId="58287ECE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</w:p>
    <w:p w14:paraId="2E47E83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一体化核酸仪</w:t>
      </w:r>
    </w:p>
    <w:p w14:paraId="0DA0990E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全自动分子检测平台：全自动一体化设备，样本提取、核酸扩增和检测全程自动化，样本进，结果出，全程无需人工干预，实现“样本进、结果出”；</w:t>
      </w:r>
    </w:p>
    <w:p w14:paraId="5D887A1E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检测效率：HPV全程检测时间≤4小时；</w:t>
      </w:r>
    </w:p>
    <w:p w14:paraId="6CDCBE36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通量：一次同时最大上机≥24，4小时可完成≥24人份检测；</w:t>
      </w:r>
    </w:p>
    <w:p w14:paraId="1BCE752B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样本装载：检测载量1-24，单管单人份，自由选择检测数量，避免试剂和耗材的浪费。</w:t>
      </w:r>
    </w:p>
    <w:p w14:paraId="2D67FF71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检测型别：可一次性快速检测28种HPV亚型且独立分型；</w:t>
      </w:r>
    </w:p>
    <w:tbl>
      <w:tblPr>
        <w:tblStyle w:val="10"/>
        <w:tblW w:w="0" w:type="auto"/>
        <w:tblInd w:w="6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6254"/>
      </w:tblGrid>
      <w:tr w14:paraId="56ED2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0" w:type="dxa"/>
            <w:noWrap w:val="0"/>
            <w:vAlign w:val="top"/>
          </w:tcPr>
          <w:p w14:paraId="2FEEAE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18种高危型</w:t>
            </w:r>
          </w:p>
        </w:tc>
        <w:tc>
          <w:tcPr>
            <w:tcW w:w="6254" w:type="dxa"/>
            <w:noWrap w:val="0"/>
            <w:vAlign w:val="top"/>
          </w:tcPr>
          <w:p w14:paraId="279163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16、18、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26、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31、33、35、39、45、51、52、53、56、58、59、66、68、73、82</w:t>
            </w:r>
          </w:p>
        </w:tc>
      </w:tr>
      <w:tr w14:paraId="1B99B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0" w:type="dxa"/>
            <w:noWrap w:val="0"/>
            <w:vAlign w:val="top"/>
          </w:tcPr>
          <w:p w14:paraId="66800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种低危型</w:t>
            </w:r>
          </w:p>
        </w:tc>
        <w:tc>
          <w:tcPr>
            <w:tcW w:w="6254" w:type="dxa"/>
            <w:noWrap w:val="0"/>
            <w:vAlign w:val="top"/>
          </w:tcPr>
          <w:p w14:paraId="6C9761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6、11、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40、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42、43、44、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54、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61、81、83</w:t>
            </w:r>
          </w:p>
        </w:tc>
      </w:tr>
    </w:tbl>
    <w:p w14:paraId="07C77ED4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全封闭：系统为独立封闭工作区域，样本、核酸、检测用试剂在整个检测过程中均保留在系统内，极大减少了生物废物污染；从开始检测到结束，系统全程封闭，最大限度避免了内/外界污染；</w:t>
      </w:r>
    </w:p>
    <w:p w14:paraId="2E0EBB82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防污染系统；</w:t>
      </w:r>
    </w:p>
    <w:p w14:paraId="7811D117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①具备 dUTP+UDG 酶防污染系统，扼制外来源污染以及扩增产物污染，试剂上层含石蜡封口，防污染。②具有定向排风负压系统，可实现工作站内部自我排污和清洁，且配有紫外灯消毒装置；</w:t>
      </w:r>
    </w:p>
    <w:p w14:paraId="42F77E3C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开放式通用平台，在研项目有呼吸道、生殖道、地中海贫血等；</w:t>
      </w:r>
    </w:p>
    <w:p w14:paraId="02F44BD9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功能模式：双模式，可作为全自动样本提取、核酸扩增和检测一体化工作站，也可单独作为核酸提取仪进行使用，拓展设备应用场景。</w:t>
      </w:r>
    </w:p>
    <w:p w14:paraId="4B24B87C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</w:p>
    <w:p w14:paraId="31588FA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检验分析用纯水设备</w:t>
      </w:r>
    </w:p>
    <w:p w14:paraId="6E69A9A0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直接用自来水制成超纯水；</w:t>
      </w:r>
    </w:p>
    <w:p w14:paraId="14F7D35B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采用精密仪表，在线精准显示原水压力、RO进口压力、RO出口压力、纯水流量、产水水质，即时准确分析、显示产水水质，保证产水质量；</w:t>
      </w:r>
    </w:p>
    <w:p w14:paraId="1581A552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采用反渗透膜等优质材料，能耗小，保证设备优越性能；</w:t>
      </w:r>
    </w:p>
    <w:p w14:paraId="73DAF8FB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整套设备预处理采用全自动冲洗装置、更护周期长、运行稳定；</w:t>
      </w:r>
    </w:p>
    <w:p w14:paraId="7C2EC993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整机采用模块结构设计，设备维护方便，省时，可因客户需要随时地移动；</w:t>
      </w:r>
    </w:p>
    <w:p w14:paraId="2A66B553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 xml:space="preserve">采用业内知名品牌原水泵和高压泵，保证在低进水压时设备正常工作； </w:t>
      </w:r>
    </w:p>
    <w:p w14:paraId="2B2C48E6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设备内配有大容量进口离子交换树脂（树脂量有50L）；</w:t>
      </w:r>
    </w:p>
    <w:p w14:paraId="67A2FB99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配有智能恒压供水装置、确保用水仪器等用水点的压力稳定；</w:t>
      </w:r>
    </w:p>
    <w:p w14:paraId="32871B47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系统具有较强的故障诊断能力，可根据压力、流量、水质等参数的偏离情况进行预判告警和指示；设备设有原水缺水、停电、过载、过流的自动保护功能，确保设备自身安全；具备电器过流报警与保护装置，提高操作人员的安全性和设备运行的稳定性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。</w:t>
      </w:r>
    </w:p>
    <w:p w14:paraId="18F15FD5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</w:p>
    <w:p w14:paraId="7D17E2E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荧光免疫定量分析仪</w:t>
      </w:r>
    </w:p>
    <w:p w14:paraId="74FD8EC4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检测原理：荧光免疫定量分析法；</w:t>
      </w:r>
    </w:p>
    <w:p w14:paraId="19A02265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检测速度及方式：检测速度≥90测试/小时，支持原始管上样，仪器为自动摇匀，自动脱帽盖帽，自动加样，自动检测，能够自动扫描样本条形码；</w:t>
      </w:r>
    </w:p>
    <w:p w14:paraId="65392477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试剂通道要求：试剂位≥4 个，需能同时检测多种项目；</w:t>
      </w:r>
    </w:p>
    <w:p w14:paraId="07DEFB15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样本位：≥5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*</w:t>
      </w: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10个样本位，轨道式自动进样；具备急诊插入功能；</w:t>
      </w:r>
    </w:p>
    <w:p w14:paraId="6A80CA61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检测时间：所有适配项目检测时间≤15 分钟；</w:t>
      </w:r>
    </w:p>
    <w:p w14:paraId="28A82756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加样方式：一次性 tip 加样，避免交叉污染；</w:t>
      </w:r>
    </w:p>
    <w:p w14:paraId="184FA3ED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样本要求：血清、血浆、全血或尿液样本，支持末梢血检测 CRP 和 PCT、SAA、25-OH-VD；</w:t>
      </w:r>
    </w:p>
    <w:p w14:paraId="7CEDC79E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重复性：仪器重复测量的变异系数 CV≤2%；</w:t>
      </w:r>
    </w:p>
    <w:p w14:paraId="62D81539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打印功能：内置热敏打印机，自动打印、手动打印可选，存储数据≥10 万条；</w:t>
      </w:r>
    </w:p>
    <w:p w14:paraId="278C6340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显示：≥12.1英寸LCD彩色触摸显示屏、分辨率≥1280×800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。</w:t>
      </w:r>
    </w:p>
    <w:p w14:paraId="5EDC9009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</w:p>
    <w:p w14:paraId="56F06AB3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</w:p>
    <w:p w14:paraId="1CDCE20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温度监控系统</w:t>
      </w:r>
    </w:p>
    <w:p w14:paraId="4119530E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无线网关RG1400，内置可充电锂电池，停电后可以持续工作12小时，通过GPRS网络上传数据。可以同时采集20个无线温度、湿度传感器的实时数据。提供停电警告，实时数据上传等功能。已包括第1年的GPRS通信流量费用和服务器短信告警提醒费用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</w:p>
    <w:p w14:paraId="172B4632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无线温度传感器RF100T，温度范围：-50度~+50度温度精度：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±</w:t>
      </w: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0.5度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分辨率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±</w:t>
      </w: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0.1度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</w:p>
    <w:p w14:paraId="4C48F80F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超低温温度传感器RF120，实时测试现场温湿度，温度范围：-200度~ 200度，温度精度：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±</w:t>
      </w: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0.5度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分辨率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±</w:t>
      </w: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0.1度，自带LED显示屏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</w:p>
    <w:p w14:paraId="6D65EB57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室内型温度湿度传感器RF200，RF200，实时测试现场温湿度，温度范围：-20度~ 50度，湿度：0% ~100%，温度精度：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±</w:t>
      </w: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0.25度，湿度精度：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±</w:t>
      </w: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3%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。</w:t>
      </w:r>
    </w:p>
    <w:p w14:paraId="2B802689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</w:p>
    <w:p w14:paraId="61115D7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尿液干化学分析仪</w:t>
      </w:r>
    </w:p>
    <w:p w14:paraId="200587A4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测定速度：≥600条/小时；</w:t>
      </w:r>
    </w:p>
    <w:p w14:paraId="50932C3D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检测波长：≥4波长；</w:t>
      </w:r>
    </w:p>
    <w:p w14:paraId="47E6204B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可测项目：白细胞、酮体、亚硝酸盐、尿胆原、胆红素、蛋白质、葡萄糖、尿比重、隐血、酸碱度、维生素C、肌酐、尿钙、微量白蛋白、ACR、PCR；</w:t>
      </w:r>
    </w:p>
    <w:p w14:paraId="3888EC47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工作方式：可选择单条测试或连续测试；</w:t>
      </w:r>
    </w:p>
    <w:p w14:paraId="111B88E0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打印功能：内置打印机打印测试结果；</w:t>
      </w:r>
    </w:p>
    <w:p w14:paraId="6F443243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计数及待测试纸条数量显示：能将感应到的试纸条准确计数并显示待测试纸条数量；</w:t>
      </w:r>
    </w:p>
    <w:p w14:paraId="61C3AABC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自检及故障识别功能：分析仪能开机自检，发生故障时能显示出相应的故障提示；</w:t>
      </w:r>
    </w:p>
    <w:p w14:paraId="555E3863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存储量：≥20000个测量结果；</w:t>
      </w:r>
    </w:p>
    <w:p w14:paraId="098E91D6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重复性：分析仪反射率测试结果的变异系数≤0.8%；</w:t>
      </w:r>
    </w:p>
    <w:p w14:paraId="109AFA16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数据输出端口：具备串口、USB、WLAN和PS/2数据端口。</w:t>
      </w:r>
    </w:p>
    <w:p w14:paraId="63078952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</w:p>
    <w:p w14:paraId="50F4ACF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数显混匀器</w:t>
      </w:r>
    </w:p>
    <w:p w14:paraId="68AF7ACE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带有电子日时钟，随时可以转换日期或时间的数字显示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</w:p>
    <w:p w14:paraId="6B70623D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有3个批次的混匀定时设置（简称“3定时”）当分批放置测试卡片后，每批只要按一下定时键，即可进行定时控制的混匀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</w:p>
    <w:p w14:paraId="4B9BBA89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机内微电脑对混匀设置的时间有记忆功能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，</w:t>
      </w: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相同混匀器时间的卡片每次混匀时可以不再重复设置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</w:p>
    <w:p w14:paraId="4932DA77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混匀时间的数字可倒计数显示，混匀时间到时鸣响提示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</w:p>
    <w:p w14:paraId="0363551F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有可卸式工作盘和有机玻璃外罩。</w:t>
      </w:r>
    </w:p>
    <w:p w14:paraId="02A7121B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</w:p>
    <w:p w14:paraId="2A65FE4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床旁型下肢康复训练系统</w:t>
      </w:r>
    </w:p>
    <w:p w14:paraId="47EA01BA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 xml:space="preserve"> 电机数量：≥4个电机；</w:t>
      </w:r>
    </w:p>
    <w:p w14:paraId="47FCC968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电动调节横向及竖向支臂的伸缩，无需操作者手动搬动；</w:t>
      </w:r>
    </w:p>
    <w:p w14:paraId="56784DBA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训练器横向支臂可伸缩：Omm～150mm 可调，竖向支臂可伸缩：Omm～300mm可调，可根据需要调节至合适的位置进行训练；</w:t>
      </w:r>
    </w:p>
    <w:p w14:paraId="367E4DF0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电动调节固定脚升降，治疗时，降下固定脚，确保训练过程中设备稳定，不出现滑动；</w:t>
      </w:r>
    </w:p>
    <w:p w14:paraId="2F9D4081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下肢松紧带可调：根据实际情况拉筋或放松松紧带，</w:t>
      </w:r>
    </w:p>
    <w:p w14:paraId="7BA51193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显示屏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≧</w:t>
      </w: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8英寸液晶电容屏，旋转角度可自由调节及锁定，显示直观，操作简便</w:t>
      </w:r>
    </w:p>
    <w:p w14:paraId="26C0C2A7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训练时间可调：1~120min可调，满足不同患者的训练时长的需求；</w:t>
      </w:r>
    </w:p>
    <w:p w14:paraId="4E29D6B5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速度调节范围：被动运动中，运动速度5~60r/min可调；</w:t>
      </w:r>
    </w:p>
    <w:p w14:paraId="4D51FD9A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阻力等级：主动模式与助力模式下，电机阻力0~24档可调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。</w:t>
      </w:r>
    </w:p>
    <w:p w14:paraId="03296429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</w:p>
    <w:p w14:paraId="44AACDA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减重步态训练系统</w:t>
      </w:r>
    </w:p>
    <w:p w14:paraId="3169A03B"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规格:减重支架（长*宽*高）：1615mm*1185mm*2550mm*±50mm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跑台（长*宽*高）：1970mm*885mm±50mm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</w:p>
    <w:p w14:paraId="2C6DABA8"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减重支架可升降：升降行程：0～600mm±30mm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升降速度：8.2mm/s±2mm/s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</w:p>
    <w:p w14:paraId="01D28EB9"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支架具有减重指示功能，指示范围：0～150kg,当载荷大于50kg时，误差不大于±4%；当载荷小于等于50kg时， 误差不大于±2kg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</w:p>
    <w:p w14:paraId="7DE4FE5F"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减重支架安全载荷≥150kg,最大载荷不小于正常载荷的2 倍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</w:p>
    <w:p w14:paraId="46E3BFEE"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跑台定时功能：5min～99min±1%，步进1min；</w:t>
      </w:r>
    </w:p>
    <w:p w14:paraId="77FB4BF5"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跑台速度可设：0.3km/h～3.0km/h，步进 0.1km/h,准确性误差不超过±5%， 均匀性误差不超过1m/s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</w:p>
    <w:p w14:paraId="71263C41"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跑台坡度可设：0～4.7°±1°，15 档可调并具有调节指示功能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</w:p>
    <w:p w14:paraId="16E8D677"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跑台静态载荷≥100kg,最大载荷不小于正常载荷的6倍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</w:p>
    <w:p w14:paraId="6C23888C"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工作噪声不大于 60dB(A)。</w:t>
      </w:r>
    </w:p>
    <w:p w14:paraId="102595C1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</w:p>
    <w:p w14:paraId="191D520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高频振动排痰仪</w:t>
      </w:r>
      <w:bookmarkStart w:id="0" w:name="_GoBack"/>
      <w:bookmarkEnd w:id="0"/>
    </w:p>
    <w:p w14:paraId="60403035"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压力3-30mmHg可调，步进1mmHg，≥27级可调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</w:p>
    <w:p w14:paraId="29EFA98D"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频率1-20Hz连续可调，步进1Hz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</w:p>
    <w:p w14:paraId="3997DB00"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时间1-99min可调，步进1min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</w:p>
    <w:p w14:paraId="4B82F210"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噪声正常工作≤65dB(A)，最大功率工作≤75dB(A)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</w:p>
    <w:p w14:paraId="47AA77F9"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≥7种工作模式：常规模式（治疗中频率和压力可随时调节，且治疗结束后自动保存本次治疗参数）、3种梯度模式（在运行过程中可调节治疗档位和治疗压力）、3种循环模式（在运行过程中可调节治疗档位和治疗压力）、自定义模式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</w:p>
    <w:p w14:paraId="704462A9"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自定义模式：通过设置治疗的8个“段”，每段均可设置该段的频率、压力和时间，执行完一个段再执行下一个段，满足不同患者的需求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</w:p>
    <w:p w14:paraId="113339C9"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可通过电动线控手柄中断/恢复振动排痰治疗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</w:p>
    <w:p w14:paraId="25A73ED9"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咳嗽暂停功能：咳嗽暂停时间为10秒-5分钟可调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</w:p>
    <w:p w14:paraId="76FE87BE"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压力与频率自动调节功能：可实现治疗压力和治疗频率自动检测、反馈、和调节功能，保证患者治疗过程中的安全性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。</w:t>
      </w:r>
    </w:p>
    <w:p w14:paraId="45485F02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783B2A"/>
    <w:multiLevelType w:val="singleLevel"/>
    <w:tmpl w:val="93783B2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>
    <w:nsid w:val="9A2DD1AD"/>
    <w:multiLevelType w:val="singleLevel"/>
    <w:tmpl w:val="9A2DD1AD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">
    <w:nsid w:val="9E73925F"/>
    <w:multiLevelType w:val="singleLevel"/>
    <w:tmpl w:val="9E73925F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3">
    <w:nsid w:val="A00EECF0"/>
    <w:multiLevelType w:val="singleLevel"/>
    <w:tmpl w:val="A00EECF0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4">
    <w:nsid w:val="AEA0D797"/>
    <w:multiLevelType w:val="singleLevel"/>
    <w:tmpl w:val="AEA0D797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5">
    <w:nsid w:val="EB4603DF"/>
    <w:multiLevelType w:val="singleLevel"/>
    <w:tmpl w:val="EB4603DF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6">
    <w:nsid w:val="F5B84661"/>
    <w:multiLevelType w:val="singleLevel"/>
    <w:tmpl w:val="F5B84661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7">
    <w:nsid w:val="F877BF59"/>
    <w:multiLevelType w:val="singleLevel"/>
    <w:tmpl w:val="F877BF59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8">
    <w:nsid w:val="1B4F8C6A"/>
    <w:multiLevelType w:val="singleLevel"/>
    <w:tmpl w:val="1B4F8C6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9">
    <w:nsid w:val="1F82F2E7"/>
    <w:multiLevelType w:val="singleLevel"/>
    <w:tmpl w:val="1F82F2E7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0">
    <w:nsid w:val="32C12E47"/>
    <w:multiLevelType w:val="singleLevel"/>
    <w:tmpl w:val="32C12E47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1">
    <w:nsid w:val="702EE562"/>
    <w:multiLevelType w:val="singleLevel"/>
    <w:tmpl w:val="702EE56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2">
    <w:nsid w:val="792DD8B2"/>
    <w:multiLevelType w:val="singleLevel"/>
    <w:tmpl w:val="792DD8B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5"/>
  </w:num>
  <w:num w:numId="5">
    <w:abstractNumId w:val="10"/>
  </w:num>
  <w:num w:numId="6">
    <w:abstractNumId w:val="0"/>
  </w:num>
  <w:num w:numId="7">
    <w:abstractNumId w:val="4"/>
  </w:num>
  <w:num w:numId="8">
    <w:abstractNumId w:val="8"/>
  </w:num>
  <w:num w:numId="9">
    <w:abstractNumId w:val="12"/>
  </w:num>
  <w:num w:numId="10">
    <w:abstractNumId w:val="9"/>
  </w:num>
  <w:num w:numId="11">
    <w:abstractNumId w:val="1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BlMGVhOTk4YzA0N2VkN2I4Njc1MzZjNzNjYTNhN2UifQ=="/>
  </w:docVars>
  <w:rsids>
    <w:rsidRoot w:val="660461E9"/>
    <w:rsid w:val="01BE4918"/>
    <w:rsid w:val="03707815"/>
    <w:rsid w:val="223364AD"/>
    <w:rsid w:val="37AA0CE2"/>
    <w:rsid w:val="3826247E"/>
    <w:rsid w:val="3FFD0999"/>
    <w:rsid w:val="462166C3"/>
    <w:rsid w:val="4DDC4236"/>
    <w:rsid w:val="59DC7D08"/>
    <w:rsid w:val="6604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380" w:lineRule="exact"/>
    </w:pPr>
    <w:rPr>
      <w:kern w:val="0"/>
      <w:sz w:val="24"/>
    </w:rPr>
  </w:style>
  <w:style w:type="paragraph" w:styleId="3">
    <w:name w:val="toc 2"/>
    <w:basedOn w:val="1"/>
    <w:next w:val="1"/>
    <w:unhideWhenUsed/>
    <w:qFormat/>
    <w:uiPriority w:val="0"/>
    <w:pPr>
      <w:ind w:left="420" w:leftChars="200"/>
    </w:pPr>
  </w:style>
  <w:style w:type="paragraph" w:styleId="4">
    <w:name w:val="Body Text Indent"/>
    <w:basedOn w:val="1"/>
    <w:next w:val="5"/>
    <w:qFormat/>
    <w:uiPriority w:val="0"/>
    <w:pPr>
      <w:ind w:firstLine="830" w:firstLineChars="352"/>
    </w:pPr>
    <w:rPr>
      <w:rFonts w:ascii="仿宋_GB2312" w:eastAsia="仿宋_GB2312"/>
      <w:kern w:val="0"/>
      <w:sz w:val="32"/>
      <w:szCs w:val="20"/>
    </w:rPr>
  </w:style>
  <w:style w:type="paragraph" w:customStyle="1" w:styleId="5">
    <w:name w:val="样式 正文文本缩进 + 首行缩进:  2 字符 行距: 1.5 倍行距"/>
    <w:basedOn w:val="4"/>
    <w:qFormat/>
    <w:uiPriority w:val="0"/>
    <w:rPr>
      <w:rFonts w:cs="宋体"/>
    </w:rPr>
  </w:style>
  <w:style w:type="paragraph" w:styleId="6">
    <w:name w:val="Plain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Normal (Web)"/>
    <w:basedOn w:val="1"/>
    <w:qFormat/>
    <w:uiPriority w:val="0"/>
    <w:rPr>
      <w:sz w:val="24"/>
    </w:rPr>
  </w:style>
  <w:style w:type="paragraph" w:styleId="8">
    <w:name w:val="Body Text First Indent 2"/>
    <w:basedOn w:val="4"/>
    <w:next w:val="9"/>
    <w:qFormat/>
    <w:uiPriority w:val="0"/>
    <w:pPr>
      <w:spacing w:after="120" w:line="240" w:lineRule="auto"/>
      <w:ind w:left="420" w:leftChars="200" w:firstLine="420" w:firstLineChars="200"/>
    </w:pPr>
  </w:style>
  <w:style w:type="paragraph" w:customStyle="1" w:styleId="9">
    <w:name w:val="**正文"/>
    <w:basedOn w:val="1"/>
    <w:qFormat/>
    <w:uiPriority w:val="0"/>
    <w:pPr>
      <w:ind w:firstLine="482"/>
    </w:pPr>
    <w:rPr>
      <w:rFonts w:ascii="宋体" w:hAnsi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3639</Words>
  <Characters>4376</Characters>
  <Lines>0</Lines>
  <Paragraphs>0</Paragraphs>
  <TotalTime>0</TotalTime>
  <ScaleCrop>false</ScaleCrop>
  <LinksUpToDate>false</LinksUpToDate>
  <CharactersWithSpaces>4423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2024-09-25T02:22:00Z</dcterms:created>
  <dc:creator>素衣</dc:creator>
  <cp:lastModifiedBy>素衣</cp:lastModifiedBy>
  <dcterms:modified xsi:type="dcterms:W3CDTF">2024-10-09T07:59:09Z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38D4A31F652C49FD82BCF8005FCBDCD9_11</vt:lpwstr>
  </property>
</Properties>
</file>