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44FAB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3" w:firstLineChars="200"/>
        <w:jc w:val="center"/>
        <w:textAlignment w:val="auto"/>
        <w:rPr>
          <w:rFonts w:hint="default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>手术显微镜</w:t>
      </w:r>
    </w:p>
    <w:p w14:paraId="7B3B4DE1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手术显微镜适用于显微外科手术</w:t>
      </w:r>
      <w:r>
        <w:rPr>
          <w:rFonts w:hint="eastAsia" w:ascii="宋体" w:hAnsi="宋体" w:cs="宋体"/>
          <w:sz w:val="22"/>
          <w:szCs w:val="22"/>
          <w:lang w:val="en-US" w:eastAsia="zh-CN"/>
        </w:rPr>
        <w:t>；</w:t>
      </w:r>
    </w:p>
    <w:p w14:paraId="5E5C00F7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变倍系统：1</w:t>
      </w:r>
      <w:r>
        <w:rPr>
          <w:rFonts w:hint="eastAsia" w:ascii="宋体" w:hAnsi="宋体" w:cs="宋体"/>
          <w:sz w:val="22"/>
          <w:szCs w:val="22"/>
          <w:lang w:val="en-US" w:eastAsia="zh-CN"/>
        </w:rPr>
        <w:t>: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6.25电动连续变倍，总放大倍率：1.7x→19x；</w:t>
      </w:r>
    </w:p>
    <w:p w14:paraId="1C382908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变角双目镜筒：角度调节范围不低于0-180°，瞳距覆盖范围不小于50mm-75mm，带精确瞳距调节旋钮，可显示瞳距数值，调节精度小于1mm，双目镜筒焦距170mm</w:t>
      </w:r>
      <w:r>
        <w:rPr>
          <w:rFonts w:hint="eastAsia" w:ascii="宋体" w:hAnsi="宋体" w:cs="宋体"/>
          <w:sz w:val="22"/>
          <w:szCs w:val="22"/>
          <w:lang w:val="en-US" w:eastAsia="zh-CN"/>
        </w:rPr>
        <w:t>；</w:t>
      </w:r>
    </w:p>
    <w:p w14:paraId="24311260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广角目镜 ：具备12.5X目镜，Φ18mm视场，屈光度调节范围不小于±7D，眼罩高低可调；</w:t>
      </w:r>
    </w:p>
    <w:p w14:paraId="37D1255C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物镜：电动调焦，工作范围198-455mm；</w:t>
      </w:r>
    </w:p>
    <w:p w14:paraId="7B3C573B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照明系统： 亮度连续可调；工作距离200mm，物面最大照度不低于90000Lx；平均使用寿命不少于60000小时；光斑大小3档可调；</w:t>
      </w:r>
    </w:p>
    <w:p w14:paraId="17019492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机身触摸屏：可通过触摸屏实现变倍、调焦、调光以及拍照录像等功能操作；</w:t>
      </w:r>
    </w:p>
    <w:p w14:paraId="66CCD245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内置及集成式全4K影像系统：</w:t>
      </w:r>
    </w:p>
    <w:p w14:paraId="0905EC05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分辨率≧3840*2160 /60P影像实时输出；</w:t>
      </w:r>
    </w:p>
    <w:p w14:paraId="150B32A6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支持U盘存储，动/静态影像可快速存储于U盘；</w:t>
      </w:r>
    </w:p>
    <w:p w14:paraId="7F0E4F37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具备WIFI功能，可传输图像可将实时影像无线传输至手机或平板终端；</w:t>
      </w:r>
    </w:p>
    <w:p w14:paraId="56E93241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支持鼠标直接对内置相机系统进行操作；</w:t>
      </w:r>
    </w:p>
    <w:p w14:paraId="6A828FBF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支持操控手柄控制拍照录像等；</w:t>
      </w:r>
    </w:p>
    <w:p w14:paraId="042B3133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支持曝光值，最佳亮度，增益，饱和度，对比度，清晰度，HDR，水平翻转，垂直翻转，缩小，放大，AOI, 图像对比等高级功能；</w:t>
      </w:r>
    </w:p>
    <w:p w14:paraId="612D3326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420" w:firstLineChars="20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/>
          <w:szCs w:val="21"/>
        </w:rPr>
        <w:t>多功能操控手柄</w:t>
      </w:r>
      <w:r>
        <w:rPr>
          <w:rFonts w:hint="eastAsia" w:ascii="宋体" w:hAnsi="宋体" w:eastAsia="宋体"/>
          <w:szCs w:val="21"/>
          <w:lang w:eastAsia="zh-CN"/>
        </w:rPr>
        <w:t>：</w:t>
      </w:r>
    </w:p>
    <w:p w14:paraId="48A4C598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手柄角度可调整；</w:t>
      </w:r>
    </w:p>
    <w:p w14:paraId="34BDD5A2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支持拍照录像等功能；</w:t>
      </w:r>
    </w:p>
    <w:p w14:paraId="4EFBE526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支持变倍、调焦以及调光等功能。</w:t>
      </w:r>
    </w:p>
    <w:p w14:paraId="307BB8A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</w:p>
    <w:p w14:paraId="50778E3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3" w:firstLineChars="200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>钬激光治疗机</w:t>
      </w:r>
    </w:p>
    <w:p w14:paraId="09A9A3BA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设备基本要求及用途：激光输出功率≥90W，在医疗机构中使用，用于泌尿系结石的粉碎，泌尿系软组织的汽化、碳化、凝固；</w:t>
      </w:r>
    </w:p>
    <w:p w14:paraId="769FCF2E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激光器工作方式：脉冲，工作激光输出波长值：2.1um±0.1um；</w:t>
      </w:r>
    </w:p>
    <w:p w14:paraId="07426156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激光输出最大单脉冲能量允许误差值≤±20%，最大单脉冲能量：5.0J；</w:t>
      </w:r>
    </w:p>
    <w:p w14:paraId="19AFA8C9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激光能量调节步长为 0.1J；</w:t>
      </w:r>
    </w:p>
    <w:p w14:paraId="1ACE586E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脉冲频率：最大频率≧ 60HZ；</w:t>
      </w:r>
    </w:p>
    <w:p w14:paraId="104235A2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光纤输出平均功率：≥90W；</w:t>
      </w:r>
    </w:p>
    <w:p w14:paraId="2E552D1C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可设置两组不同的参数通过脚踏控制输出两组不同的能量；</w:t>
      </w:r>
    </w:p>
    <w:p w14:paraId="3A2A9714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激光终端输出功率不稳定度优于±5%，激光终端输出功率复现性优于±5%；</w:t>
      </w:r>
    </w:p>
    <w:p w14:paraId="18D62714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瞄准光输出波长≧532nm（绿光），亮度可调。</w:t>
      </w:r>
    </w:p>
    <w:p w14:paraId="0547C8D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</w:p>
    <w:p w14:paraId="6D1CA11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3" w:firstLineChars="200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>8M一体化双屏医用显示器</w:t>
      </w:r>
    </w:p>
    <w:p w14:paraId="17DD00D1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屏幕规格:尺寸≥31英寸，分辨率≥3840</w:t>
      </w:r>
      <w:r>
        <w:rPr>
          <w:rFonts w:hint="default" w:ascii="宋体" w:hAnsi="宋体" w:eastAsia="宋体" w:cs="宋体"/>
          <w:sz w:val="22"/>
          <w:szCs w:val="22"/>
          <w:lang w:val="en-US" w:eastAsia="zh-CN"/>
        </w:rPr>
        <w:t>×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2160，像素大小≤</w:t>
      </w:r>
      <w:r>
        <w:rPr>
          <w:rFonts w:hint="default" w:ascii="宋体" w:hAnsi="宋体" w:eastAsia="宋体" w:cs="宋体"/>
          <w:sz w:val="22"/>
          <w:szCs w:val="22"/>
          <w:lang w:val="en-US" w:eastAsia="zh-CN"/>
        </w:rPr>
        <w:t>0.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182 mm，对比度≥130</w:t>
      </w:r>
      <w:r>
        <w:rPr>
          <w:rFonts w:hint="default" w:ascii="宋体" w:hAnsi="宋体" w:eastAsia="宋体" w:cs="宋体"/>
          <w:sz w:val="22"/>
          <w:szCs w:val="22"/>
          <w:lang w:val="en-US" w:eastAsia="zh-CN"/>
        </w:rPr>
        <w:t>0:1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 xml:space="preserve"> ，视角≥</w:t>
      </w:r>
      <w:r>
        <w:rPr>
          <w:rFonts w:hint="default" w:ascii="宋体" w:hAnsi="宋体" w:eastAsia="宋体" w:cs="宋体"/>
          <w:sz w:val="22"/>
          <w:szCs w:val="22"/>
          <w:lang w:val="en-US" w:eastAsia="zh-CN"/>
        </w:rPr>
        <w:t>17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8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sym w:font="Symbol" w:char="F0B0"/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，响应时间≤14ms，支持色彩≥10.7亿，分辨率≥3840</w:t>
      </w:r>
      <w:r>
        <w:rPr>
          <w:rFonts w:hint="default" w:ascii="宋体" w:hAnsi="宋体" w:eastAsia="宋体" w:cs="宋体"/>
          <w:sz w:val="22"/>
          <w:szCs w:val="22"/>
          <w:lang w:val="en-US" w:eastAsia="zh-CN"/>
        </w:rPr>
        <w:t>×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2160，亮度≥1000 cd/m2，均匀性≥80%；</w:t>
      </w:r>
    </w:p>
    <w:p w14:paraId="77527E52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default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医疗设备曲线:</w:t>
      </w:r>
      <w:r>
        <w:rPr>
          <w:rFonts w:hint="default" w:ascii="宋体" w:hAnsi="宋体" w:eastAsia="宋体" w:cs="宋体"/>
          <w:sz w:val="22"/>
          <w:szCs w:val="22"/>
          <w:lang w:val="en-US" w:eastAsia="zh-CN"/>
        </w:rPr>
        <w:t>显示器完全符合DICOM3.14标准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，内置内置off, 1.8, 2.0, 2.2, CIE, User1,User2, DICOM+0.5, DICOM+1.3,DICOM 300, DICOM 350, DICOM400, DICOM 450, DICOM 500,DICOM 550, DICOM 600，CAL曲线；</w:t>
      </w:r>
    </w:p>
    <w:p w14:paraId="04BF9222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default" w:ascii="宋体" w:hAnsi="宋体" w:eastAsia="宋体" w:cs="宋体"/>
          <w:sz w:val="22"/>
          <w:szCs w:val="22"/>
          <w:lang w:val="en-US" w:eastAsia="zh-CN"/>
        </w:rPr>
        <w:t>曲线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误差:</w:t>
      </w:r>
      <w:r>
        <w:rPr>
          <w:rFonts w:hint="default" w:ascii="宋体" w:hAnsi="宋体" w:eastAsia="宋体" w:cs="宋体"/>
          <w:sz w:val="22"/>
          <w:szCs w:val="22"/>
          <w:lang w:val="en-US" w:eastAsia="zh-CN"/>
        </w:rPr>
        <w:t>内置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 xml:space="preserve"> DICOM、Gamma</w:t>
      </w:r>
      <w:r>
        <w:rPr>
          <w:rFonts w:hint="default" w:ascii="宋体" w:hAnsi="宋体" w:eastAsia="宋体" w:cs="宋体"/>
          <w:sz w:val="22"/>
          <w:szCs w:val="22"/>
          <w:lang w:val="en-US" w:eastAsia="zh-CN"/>
        </w:rPr>
        <w:t>曲线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误差</w:t>
      </w:r>
      <w:r>
        <w:rPr>
          <w:rFonts w:hint="eastAsia" w:ascii="楷体" w:hAnsi="楷体" w:eastAsia="楷体" w:cs="楷体"/>
          <w:color w:val="auto"/>
          <w:sz w:val="18"/>
          <w:szCs w:val="18"/>
          <w:lang w:val="en-US" w:eastAsia="zh-CN"/>
        </w:rPr>
        <w:t>&lt;2%-</w:t>
      </w:r>
      <w:r>
        <w:rPr>
          <w:rFonts w:hint="eastAsia" w:ascii="Microsoft Sans Serif" w:hAnsi="Microsoft Sans Serif" w:eastAsia="微软雅黑"/>
          <w:color w:val="auto"/>
          <w:sz w:val="18"/>
          <w:szCs w:val="18"/>
          <w:lang w:val="en-US" w:eastAsia="zh-CN"/>
        </w:rPr>
        <w:t>5%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；</w:t>
      </w:r>
    </w:p>
    <w:p w14:paraId="6B39A45E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default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输入信号:</w:t>
      </w:r>
    </w:p>
    <w:p w14:paraId="450E590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200"/>
        <w:textAlignment w:val="auto"/>
        <w:rPr>
          <w:rFonts w:hint="default" w:ascii="宋体" w:hAnsi="宋体" w:eastAsia="宋体" w:cs="宋体"/>
          <w:sz w:val="22"/>
          <w:szCs w:val="22"/>
          <w:lang w:val="en-US" w:eastAsia="zh-CN"/>
        </w:rPr>
      </w:pPr>
      <w:r>
        <w:rPr>
          <w:rFonts w:hint="default" w:ascii="宋体" w:hAnsi="宋体" w:eastAsia="宋体" w:cs="宋体"/>
          <w:sz w:val="22"/>
          <w:szCs w:val="22"/>
          <w:lang w:val="en-US" w:eastAsia="zh-CN"/>
        </w:rPr>
        <w:t>Display port ×2：最新一代数字视频接口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；</w:t>
      </w:r>
    </w:p>
    <w:p w14:paraId="6DE876A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200"/>
        <w:textAlignment w:val="auto"/>
        <w:rPr>
          <w:rFonts w:hint="default" w:ascii="宋体" w:hAnsi="宋体" w:eastAsia="宋体" w:cs="宋体"/>
          <w:sz w:val="22"/>
          <w:szCs w:val="22"/>
          <w:lang w:val="en-US" w:eastAsia="zh-CN"/>
        </w:rPr>
      </w:pPr>
      <w:r>
        <w:rPr>
          <w:rFonts w:hint="default" w:ascii="宋体" w:hAnsi="宋体" w:eastAsia="宋体" w:cs="宋体"/>
          <w:sz w:val="22"/>
          <w:szCs w:val="22"/>
          <w:lang w:val="en-US" w:eastAsia="zh-CN"/>
        </w:rPr>
        <w:t>DVI-D ×2：计算机数字视频接口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；</w:t>
      </w:r>
    </w:p>
    <w:p w14:paraId="03EA6D9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200"/>
        <w:textAlignment w:val="auto"/>
        <w:rPr>
          <w:rFonts w:hint="default" w:ascii="宋体" w:hAnsi="宋体" w:eastAsia="宋体" w:cs="宋体"/>
          <w:sz w:val="22"/>
          <w:szCs w:val="22"/>
          <w:lang w:val="en-US" w:eastAsia="zh-CN"/>
        </w:rPr>
      </w:pPr>
      <w:r>
        <w:rPr>
          <w:rFonts w:hint="default" w:ascii="宋体" w:hAnsi="宋体" w:eastAsia="宋体" w:cs="宋体"/>
          <w:sz w:val="22"/>
          <w:szCs w:val="22"/>
          <w:lang w:val="en-US" w:eastAsia="zh-CN"/>
        </w:rPr>
        <w:t>VGA×1：模拟信号接口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；</w:t>
      </w:r>
    </w:p>
    <w:p w14:paraId="47E28C3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200"/>
        <w:textAlignment w:val="auto"/>
        <w:rPr>
          <w:rFonts w:hint="default" w:ascii="宋体" w:hAnsi="宋体" w:eastAsia="宋体" w:cs="宋体"/>
          <w:sz w:val="22"/>
          <w:szCs w:val="22"/>
          <w:lang w:val="en-US" w:eastAsia="zh-CN"/>
        </w:rPr>
      </w:pPr>
      <w:r>
        <w:rPr>
          <w:rFonts w:hint="default" w:ascii="宋体" w:hAnsi="宋体" w:eastAsia="宋体" w:cs="宋体"/>
          <w:sz w:val="22"/>
          <w:szCs w:val="22"/>
          <w:lang w:val="en-US" w:eastAsia="zh-CN"/>
        </w:rPr>
        <w:t>具备船型电源开关，可完全断开显示器供电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；</w:t>
      </w:r>
    </w:p>
    <w:p w14:paraId="187E083D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default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图像调节:支持对图像亮度、色温、Gamma、显示比例调节，双屏模式下支持对全屏幕或者左右屏幕效果进行独立调节，满足多种应用模式，提供实际产品的内置功能菜单的截图界面照片证明及产品手册资料；</w:t>
      </w:r>
    </w:p>
    <w:p w14:paraId="21511D39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default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传感器控制:产品支持对背光传感器、环境传感器等传感器进行开关控制，需提供实际产品内置该功能截图照片证明；</w:t>
      </w:r>
    </w:p>
    <w:p w14:paraId="1D028FB7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default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双屏显示:两路信号可分别输入，在一个屏上实现双竖屏显示，满足对比诊断要求，支持一键切换单屏双屏模式，提供证明文件；</w:t>
      </w:r>
    </w:p>
    <w:p w14:paraId="37CD5400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default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显示鼠标定位控制技术:具有显示鼠标定位控制技术，方便在临床诊断过程时，可以一键智能定位鼠标位置，以解决在高分辨率专业医用显示屏难以寻找鼠标位置的临床应用；</w:t>
      </w:r>
    </w:p>
    <w:p w14:paraId="2FB49340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default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临床办公影像专显系统：尺寸≥23.8英寸，分辨率≥1920×1080，内置Gamma，DICOM曲线，DICOM校准亮度≥300 cd/m2，内置安卓操作系统，支持内外网隔离与一键切换内外网，支持对云影像二维码扫描功能，扫码后支持内网HDMI信号自动切换至安卓系统并启动云影像浏览程序；</w:t>
      </w:r>
    </w:p>
    <w:p w14:paraId="022BE1A6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default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产品认证：产品获得CCC强制认证，并且3C认证证书上委托人、生产者（制造商）和生产企业名称须完全一致；产品获得中国节能产品认证，并且节能认证证书上委托人、生产者和生产企业名称须完全一致，提供中国强制认证证书。</w:t>
      </w:r>
    </w:p>
    <w:p w14:paraId="538FDED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</w:p>
    <w:p w14:paraId="2364113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3" w:firstLineChars="200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>全自动智能染色封片系统</w:t>
      </w:r>
    </w:p>
    <w:p w14:paraId="1CDD58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422" w:firstLineChars="200"/>
        <w:textAlignment w:val="auto"/>
        <w:rPr>
          <w:rFonts w:ascii="宋体" w:hAnsi="宋体" w:eastAsia="宋体" w:cs="宋体"/>
          <w:b/>
          <w:bCs/>
          <w:szCs w:val="21"/>
          <w:highlight w:val="none"/>
        </w:rPr>
      </w:pPr>
      <w:r>
        <w:rPr>
          <w:rFonts w:hint="eastAsia" w:ascii="宋体" w:hAnsi="宋体" w:cs="宋体"/>
          <w:b/>
          <w:bCs/>
          <w:szCs w:val="21"/>
          <w:highlight w:val="none"/>
          <w:lang w:eastAsia="zh-CN"/>
        </w:rPr>
        <w:t>（</w:t>
      </w:r>
      <w:r>
        <w:rPr>
          <w:rFonts w:hint="eastAsia" w:ascii="宋体" w:hAnsi="宋体" w:cs="宋体"/>
          <w:b/>
          <w:bCs/>
          <w:szCs w:val="21"/>
          <w:highlight w:val="none"/>
          <w:lang w:val="en-US" w:eastAsia="zh-CN"/>
        </w:rPr>
        <w:t>一</w:t>
      </w:r>
      <w:r>
        <w:rPr>
          <w:rFonts w:hint="eastAsia" w:ascii="宋体" w:hAnsi="宋体" w:cs="宋体"/>
          <w:b/>
          <w:bCs/>
          <w:szCs w:val="21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b/>
          <w:bCs/>
          <w:szCs w:val="21"/>
          <w:highlight w:val="none"/>
        </w:rPr>
        <w:t>染色机部分：</w:t>
      </w:r>
    </w:p>
    <w:p w14:paraId="74C0E7AB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440" w:firstLineChars="200"/>
        <w:textAlignment w:val="auto"/>
        <w:rPr>
          <w:rFonts w:hint="default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 xml:space="preserve">样本进出：样本通过抽屉式加卸载站点进出，无需打开盖板进行抽拉；拒绝打开盖板进行二次操作进样。具有异常打开抽屉报警和延时语音提醒功能，抽屉打开超时提醒时间1-120秒可调。 </w:t>
      </w:r>
    </w:p>
    <w:p w14:paraId="2628ED5F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440" w:firstLineChars="200"/>
        <w:textAlignment w:val="auto"/>
        <w:rPr>
          <w:rFonts w:hint="default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缓冲功能：抽屉具有缓冲功能，距离在设备3mm时能够缓冲后自动关闭到位。</w:t>
      </w:r>
    </w:p>
    <w:p w14:paraId="7662B377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烤箱：温度可调范围室温至75℃，具备温度实时监测功能，烤缸数量≤1个。</w:t>
      </w:r>
    </w:p>
    <w:p w14:paraId="78D57D98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机械臂功能：高精度运行机械臂，可沿XYZ三轴运动。机械臂横向运行速度≥1米/s，向上提拉时间＜1秒。机械臂有抖缸、沥液功能，且可自由设置执行参数。</w:t>
      </w:r>
    </w:p>
    <w:p w14:paraId="37BC0B3C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用户交互：彩色液晶触摸屏≥10</w:t>
      </w:r>
      <w:r>
        <w:rPr>
          <w:rFonts w:hint="default" w:ascii="宋体" w:hAnsi="宋体" w:eastAsia="宋体" w:cs="宋体"/>
          <w:sz w:val="22"/>
          <w:szCs w:val="22"/>
          <w:lang w:val="en-US" w:eastAsia="zh-CN"/>
        </w:rPr>
        <w:t>英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寸，全中文系统，主界面上可设置≥4个染色快捷程序，拒绝物理按键式的操作。</w:t>
      </w:r>
    </w:p>
    <w:p w14:paraId="2B6445B6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试剂缸容量：单个试剂缸容量≤500ml，避免试剂缸过大造成试剂挥发浪费。</w:t>
      </w:r>
    </w:p>
    <w:p w14:paraId="0F73FE76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单个玻片架容量需≥30片/架。</w:t>
      </w:r>
    </w:p>
    <w:p w14:paraId="1E89D204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远程监控功能：具有远程报警、监控功能，可通过≥2种方式（网页、小程序）进行远程监控，实时了解设备运行状态；同时具备≥2种方式推送报警信息和维修指引。（提供微信小程序监控软件运行界面截图）</w:t>
      </w:r>
    </w:p>
    <w:p w14:paraId="7913B073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染色时间自调节功能：可根据染液浸染天数或架数进行设置，自动调整染色时间；能够进行自动调节的染液种类不低于4种。</w:t>
      </w:r>
    </w:p>
    <w:p w14:paraId="44E2286F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废气浓度监测：具有浓度监测传感器，浓度监测范围0-100ppm可设置，主界面上可实时显示废气浓度值。（提供可调节浓度检测范围、及主页面实时显示废气浓度值的图片）</w:t>
      </w:r>
    </w:p>
    <w:p w14:paraId="03E93E35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防护机制：设备运行时，打开防护罩后机械臂自动停止运行，关闭后机械臂自动恢复运行，避免操作人员碰撞受伤的风险。</w:t>
      </w:r>
    </w:p>
    <w:p w14:paraId="1A3A6330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工作站延展性：与封片机组合，形成染色封片一体化工作站，且无需单独的转运装置</w:t>
      </w:r>
    </w:p>
    <w:p w14:paraId="64611A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422" w:firstLineChars="200"/>
        <w:textAlignment w:val="auto"/>
        <w:rPr>
          <w:rFonts w:hint="eastAsia" w:ascii="宋体" w:hAnsi="宋体" w:eastAsia="宋体" w:cs="宋体"/>
          <w:b/>
          <w:bCs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Cs w:val="21"/>
          <w:highlight w:val="none"/>
          <w:lang w:val="en-US" w:eastAsia="zh-CN"/>
        </w:rPr>
        <w:t>（二）封片机部分：</w:t>
      </w:r>
    </w:p>
    <w:p w14:paraId="3C994FDD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440" w:firstLineChars="200"/>
        <w:textAlignment w:val="auto"/>
        <w:rPr>
          <w:rFonts w:hint="default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操作界面：彩色触摸屏≥10</w:t>
      </w:r>
      <w:r>
        <w:rPr>
          <w:rFonts w:hint="default" w:ascii="宋体" w:hAnsi="宋体" w:eastAsia="宋体" w:cs="宋体"/>
          <w:sz w:val="22"/>
          <w:szCs w:val="22"/>
          <w:lang w:val="en-US" w:eastAsia="zh-CN"/>
        </w:rPr>
        <w:t>英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寸，全中文系统触屏显示操作，主界面上显示封片进程、耗材余量、废液量等信息，操作更简单直观；拒绝物理按键式的操作。</w:t>
      </w:r>
    </w:p>
    <w:p w14:paraId="254D77D5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盖玻片装载：盖玻片装载采用金属装载盒，可自由拔出装载盒，方便添加盖玻片，盖玻片单次上载量：≥200片。</w:t>
      </w:r>
    </w:p>
    <w:p w14:paraId="50A41DC4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440" w:firstLineChars="200"/>
        <w:textAlignment w:val="auto"/>
        <w:rPr>
          <w:rFonts w:hint="default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夹片方式：高精度机械臂，定位精度：≤0.1mm。采用机械夹爪夹取的方式竖直取片，拒绝采用其它夹片方式，防止对玻片产生损伤。</w:t>
      </w:r>
    </w:p>
    <w:p w14:paraId="5EDDF4CE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输出存储方式：直接从封片机上以读片板（晾片板）的形式存储已完成封片的载玻片，以便直接阅片，无需人工转运，节省人力，提高科室工作效率；拒绝封片完成放回原玻片架，避免卡片导致的仪器故障和样本损坏；拒绝圆盘悬挂式输出存储，减少玻片掉落风险。</w:t>
      </w:r>
    </w:p>
    <w:p w14:paraId="2841C44C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440" w:firstLineChars="200"/>
        <w:textAlignment w:val="auto"/>
        <w:rPr>
          <w:rFonts w:hint="default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读片板一次放置＞6层。</w:t>
      </w:r>
    </w:p>
    <w:p w14:paraId="0BAB8E27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440" w:firstLineChars="200"/>
        <w:textAlignment w:val="auto"/>
        <w:rPr>
          <w:rFonts w:hint="default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出胶系统：精准定位，防止溢胶，点胶容量：0~200uL可调；拒绝气泵真空压力出胶方式，避免因胶瓶密封不好导致的出胶异常问题。</w:t>
      </w:r>
    </w:p>
    <w:p w14:paraId="35E62B7A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针头自动浸泡：封片完成后，出胶针头自动浸泡在二甲苯浸泡槽中，且浸泡槽中二甲苯可实现自动灌注和排放；出胶管路自动清洗，防止堵管。</w:t>
      </w:r>
    </w:p>
    <w:p w14:paraId="091BB773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440" w:firstLineChars="200"/>
        <w:textAlignment w:val="auto"/>
        <w:rPr>
          <w:rFonts w:hint="default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针头自动排胶：封片机开机后自动排出管路中残胶，并收集到废液盒中，确保出胶稳定，避免溢胶现象。</w:t>
      </w:r>
    </w:p>
    <w:p w14:paraId="208FB195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传动模式：四位联动运行模式，流水线作业；在多机械臂协同工作下，各机械臂互不干扰，可实现玻片夹取、滴胶、盖片、推送等动作同时进行。</w:t>
      </w:r>
    </w:p>
    <w:p w14:paraId="576E757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</w:p>
    <w:p w14:paraId="4998DC7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3" w:firstLineChars="200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>全自动血液细胞分析仪</w:t>
      </w:r>
    </w:p>
    <w:p w14:paraId="41B1DAF3">
      <w:pPr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440" w:firstLineChars="200"/>
        <w:textAlignment w:val="auto"/>
        <w:rPr>
          <w:rFonts w:hint="default" w:ascii="宋体" w:hAnsi="宋体" w:eastAsia="宋体" w:cs="宋体"/>
          <w:sz w:val="22"/>
          <w:szCs w:val="22"/>
          <w:lang w:val="en-US" w:eastAsia="zh-CN"/>
        </w:rPr>
      </w:pPr>
      <w:r>
        <w:rPr>
          <w:rFonts w:hint="default" w:ascii="宋体" w:hAnsi="宋体" w:eastAsia="宋体" w:cs="宋体"/>
          <w:sz w:val="22"/>
          <w:szCs w:val="22"/>
          <w:lang w:val="en-US" w:eastAsia="zh-CN"/>
        </w:rPr>
        <w:t>全检测方法及原理：血细胞分析采用半导体激光法、鞘流电阻抗法、荧光染色法和流式细胞技术原理。</w:t>
      </w:r>
    </w:p>
    <w:p w14:paraId="7001A033">
      <w:pPr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440" w:firstLineChars="200"/>
        <w:textAlignment w:val="auto"/>
        <w:rPr>
          <w:rFonts w:hint="default" w:ascii="宋体" w:hAnsi="宋体" w:eastAsia="宋体" w:cs="宋体"/>
          <w:sz w:val="22"/>
          <w:szCs w:val="22"/>
          <w:lang w:val="en-US" w:eastAsia="zh-CN"/>
        </w:rPr>
      </w:pPr>
      <w:r>
        <w:rPr>
          <w:rFonts w:hint="default" w:ascii="宋体" w:hAnsi="宋体" w:eastAsia="宋体" w:cs="宋体"/>
          <w:sz w:val="22"/>
          <w:szCs w:val="22"/>
          <w:lang w:val="en-US" w:eastAsia="zh-CN"/>
        </w:rPr>
        <w:t>报告参数：血液分析报告参数≥37个，三维散点图≥3个；体液分析报告参数≥7个</w:t>
      </w:r>
    </w:p>
    <w:p w14:paraId="173AAA30">
      <w:pPr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440" w:firstLineChars="200"/>
        <w:textAlignment w:val="auto"/>
        <w:rPr>
          <w:rFonts w:hint="default" w:ascii="宋体" w:hAnsi="宋体" w:eastAsia="宋体" w:cs="宋体"/>
          <w:sz w:val="22"/>
          <w:szCs w:val="22"/>
          <w:lang w:val="en-US" w:eastAsia="zh-CN"/>
        </w:rPr>
      </w:pPr>
      <w:r>
        <w:rPr>
          <w:rFonts w:hint="default" w:ascii="宋体" w:hAnsi="宋体" w:eastAsia="宋体" w:cs="宋体"/>
          <w:sz w:val="22"/>
          <w:szCs w:val="22"/>
          <w:lang w:val="en-US" w:eastAsia="zh-CN"/>
        </w:rPr>
        <w:t>单机检测速度：CBC＋DIFF＋NRBC ≥110个样本/小时</w:t>
      </w:r>
    </w:p>
    <w:p w14:paraId="1684D2DD">
      <w:pPr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440" w:firstLineChars="200"/>
        <w:textAlignment w:val="auto"/>
        <w:rPr>
          <w:rFonts w:hint="default" w:ascii="宋体" w:hAnsi="宋体" w:eastAsia="宋体" w:cs="宋体"/>
          <w:sz w:val="22"/>
          <w:szCs w:val="22"/>
          <w:lang w:val="en-US" w:eastAsia="zh-CN"/>
        </w:rPr>
      </w:pPr>
      <w:r>
        <w:rPr>
          <w:rFonts w:hint="default" w:ascii="宋体" w:hAnsi="宋体" w:eastAsia="宋体" w:cs="宋体"/>
          <w:sz w:val="22"/>
          <w:szCs w:val="22"/>
          <w:lang w:val="en-US" w:eastAsia="zh-CN"/>
        </w:rPr>
        <w:t>末梢全血自动批量检测模式支持以下功能：自动扫码进样、自动混匀、异常标本自动回退复检；自动混匀功能可适配主流末梢全血采血管。末梢全血预稀释模式也能进行白细胞五分类、有核红细胞、网织红细胞，有急诊插入功能。</w:t>
      </w:r>
    </w:p>
    <w:p w14:paraId="2F013A37">
      <w:pPr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440" w:firstLineChars="200"/>
        <w:textAlignment w:val="auto"/>
        <w:rPr>
          <w:rFonts w:hint="default" w:ascii="宋体" w:hAnsi="宋体" w:eastAsia="宋体" w:cs="宋体"/>
          <w:sz w:val="22"/>
          <w:szCs w:val="22"/>
          <w:lang w:val="en-US" w:eastAsia="zh-CN"/>
        </w:rPr>
      </w:pPr>
      <w:r>
        <w:rPr>
          <w:rFonts w:hint="default" w:ascii="宋体" w:hAnsi="宋体" w:eastAsia="宋体" w:cs="宋体"/>
          <w:sz w:val="22"/>
          <w:szCs w:val="22"/>
          <w:lang w:val="en-US" w:eastAsia="zh-CN"/>
        </w:rPr>
        <w:t>具有全自动体液（含胸水、腹水、脑脊液和浆膜液等体液）细胞计数和对体液中的白细胞进行分类的功能；具有通过高荧光体液细胞参数对肿瘤细胞进行提示功能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；</w:t>
      </w:r>
      <w:r>
        <w:rPr>
          <w:rFonts w:hint="default" w:ascii="宋体" w:hAnsi="宋体" w:eastAsia="宋体" w:cs="宋体"/>
          <w:sz w:val="22"/>
          <w:szCs w:val="22"/>
          <w:lang w:val="en-US" w:eastAsia="zh-CN"/>
        </w:rPr>
        <w:t>具有检测网织红细胞血红蛋白含量的功能，以帮助判断贫血的类型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；</w:t>
      </w:r>
      <w:r>
        <w:rPr>
          <w:rFonts w:hint="default" w:ascii="宋体" w:hAnsi="宋体" w:eastAsia="宋体" w:cs="宋体"/>
          <w:sz w:val="22"/>
          <w:szCs w:val="22"/>
          <w:lang w:val="en-US" w:eastAsia="zh-CN"/>
        </w:rPr>
        <w:t>具有低值血小板检测功能，如遇血小板低值时通过自动增加计数颗粒数量（8倍）来保证血小板检测精度，也可以手动选择8倍进样检测模式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；</w:t>
      </w:r>
      <w:r>
        <w:rPr>
          <w:rFonts w:hint="default" w:ascii="宋体" w:hAnsi="宋体" w:eastAsia="宋体" w:cs="宋体"/>
          <w:sz w:val="22"/>
          <w:szCs w:val="22"/>
          <w:lang w:val="en-US" w:eastAsia="zh-CN"/>
        </w:rPr>
        <w:t>具有低值白细胞检测功能，如遇白细胞低值时自动增加计数颗粒数量来保证检测结果的准确性，无需二次折返检测。</w:t>
      </w:r>
    </w:p>
    <w:p w14:paraId="303A010A">
      <w:pPr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440" w:firstLineChars="200"/>
        <w:textAlignment w:val="auto"/>
        <w:rPr>
          <w:rFonts w:hint="default" w:ascii="宋体" w:hAnsi="宋体" w:eastAsia="宋体" w:cs="宋体"/>
          <w:sz w:val="22"/>
          <w:szCs w:val="22"/>
          <w:lang w:val="en-US" w:eastAsia="zh-CN"/>
        </w:rPr>
      </w:pPr>
      <w:r>
        <w:rPr>
          <w:rFonts w:hint="default" w:ascii="宋体" w:hAnsi="宋体" w:eastAsia="宋体" w:cs="宋体"/>
          <w:sz w:val="22"/>
          <w:szCs w:val="22"/>
          <w:lang w:val="en-US" w:eastAsia="zh-CN"/>
        </w:rPr>
        <w:t>使用荧光染料和半导体激光检测WBC五分类，并具有有核红细胞检测功能，能自动进行对白细胞计数的校正。</w:t>
      </w:r>
    </w:p>
    <w:p w14:paraId="023D0CFC">
      <w:pPr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440" w:firstLineChars="200"/>
        <w:textAlignment w:val="auto"/>
        <w:rPr>
          <w:rFonts w:hint="default" w:ascii="宋体" w:hAnsi="宋体" w:eastAsia="宋体" w:cs="宋体"/>
          <w:sz w:val="22"/>
          <w:szCs w:val="22"/>
          <w:lang w:val="en-US" w:eastAsia="zh-CN"/>
        </w:rPr>
      </w:pPr>
      <w:r>
        <w:rPr>
          <w:rFonts w:hint="default" w:ascii="宋体" w:hAnsi="宋体" w:eastAsia="宋体" w:cs="宋体"/>
          <w:sz w:val="22"/>
          <w:szCs w:val="22"/>
          <w:lang w:val="en-US" w:eastAsia="zh-CN"/>
        </w:rPr>
        <w:t>全自动网织红细胞检测，可对网织红进行分型，提供网织红成熟度指数，网织红细胞检测无需机外染色处理。</w:t>
      </w:r>
    </w:p>
    <w:p w14:paraId="787C7087">
      <w:pPr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440" w:firstLineChars="200"/>
        <w:textAlignment w:val="auto"/>
        <w:rPr>
          <w:rFonts w:hint="default" w:ascii="宋体" w:hAnsi="宋体" w:eastAsia="宋体" w:cs="宋体"/>
          <w:sz w:val="22"/>
          <w:szCs w:val="22"/>
          <w:lang w:val="en-US" w:eastAsia="zh-CN"/>
        </w:rPr>
      </w:pPr>
      <w:r>
        <w:rPr>
          <w:rFonts w:hint="default" w:ascii="宋体" w:hAnsi="宋体" w:eastAsia="宋体" w:cs="宋体"/>
          <w:sz w:val="22"/>
          <w:szCs w:val="22"/>
          <w:lang w:val="en-US" w:eastAsia="zh-CN"/>
        </w:rPr>
        <w:t>血小板检测采用鞘流阻抗法和荧光染色法两种方法，并可转换。</w:t>
      </w:r>
    </w:p>
    <w:p w14:paraId="3DD8C46A">
      <w:pPr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440" w:firstLineChars="200"/>
        <w:textAlignment w:val="auto"/>
        <w:rPr>
          <w:rFonts w:hint="default" w:ascii="宋体" w:hAnsi="宋体" w:eastAsia="宋体" w:cs="宋体"/>
          <w:sz w:val="22"/>
          <w:szCs w:val="22"/>
          <w:lang w:val="en-US" w:eastAsia="zh-CN"/>
        </w:rPr>
      </w:pPr>
      <w:r>
        <w:rPr>
          <w:rFonts w:hint="default" w:ascii="宋体" w:hAnsi="宋体" w:eastAsia="宋体" w:cs="宋体"/>
          <w:sz w:val="22"/>
          <w:szCs w:val="22"/>
          <w:lang w:val="en-US" w:eastAsia="zh-CN"/>
        </w:rPr>
        <w:t>血液分析线性范围（静脉血）：白细胞：（0-500） 109/L，红细胞：（0-8.6） 1012/L，血小板：（0-5000） 109/L，血红蛋白：0-260g/L。</w:t>
      </w:r>
    </w:p>
    <w:p w14:paraId="251C34F7">
      <w:pPr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440" w:firstLineChars="200"/>
        <w:textAlignment w:val="auto"/>
        <w:rPr>
          <w:rFonts w:hint="default" w:ascii="宋体" w:hAnsi="宋体" w:eastAsia="宋体" w:cs="宋体"/>
          <w:sz w:val="22"/>
          <w:szCs w:val="22"/>
          <w:lang w:val="en-US" w:eastAsia="zh-CN"/>
        </w:rPr>
      </w:pPr>
      <w:r>
        <w:rPr>
          <w:rFonts w:hint="default" w:ascii="宋体" w:hAnsi="宋体" w:eastAsia="宋体" w:cs="宋体"/>
          <w:sz w:val="22"/>
          <w:szCs w:val="22"/>
          <w:lang w:val="en-US" w:eastAsia="zh-CN"/>
        </w:rPr>
        <w:t>血液模式空白计数要求：白细胞≤0.1  109/L，红细胞≤0.02  1012/L，血红蛋白≤1g/L，阻抗法血小板≤5  109/L。</w:t>
      </w:r>
    </w:p>
    <w:p w14:paraId="00A4BFE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</w:p>
    <w:p w14:paraId="684F8C7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3" w:firstLineChars="200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>全自动生化分析仪</w:t>
      </w:r>
    </w:p>
    <w:p w14:paraId="1B86C69C">
      <w:pPr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default" w:ascii="宋体" w:hAnsi="宋体" w:eastAsia="宋体" w:cs="宋体"/>
          <w:sz w:val="22"/>
          <w:szCs w:val="22"/>
          <w:lang w:val="en-US" w:eastAsia="zh-CN"/>
        </w:rPr>
      </w:pPr>
      <w:r>
        <w:rPr>
          <w:rFonts w:hint="default" w:ascii="宋体" w:hAnsi="宋体" w:eastAsia="宋体" w:cs="宋体"/>
          <w:sz w:val="22"/>
          <w:szCs w:val="22"/>
          <w:lang w:val="en-US" w:eastAsia="zh-CN"/>
        </w:rPr>
        <w:t>仪器基本要求：全自动生化分析系统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；</w:t>
      </w:r>
    </w:p>
    <w:p w14:paraId="415DB5BA">
      <w:pPr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default" w:ascii="宋体" w:hAnsi="宋体" w:eastAsia="宋体" w:cs="宋体"/>
          <w:sz w:val="22"/>
          <w:szCs w:val="22"/>
          <w:lang w:val="en-US" w:eastAsia="zh-CN"/>
        </w:rPr>
      </w:pPr>
      <w:r>
        <w:rPr>
          <w:rFonts w:hint="default" w:ascii="宋体" w:hAnsi="宋体" w:eastAsia="宋体" w:cs="宋体"/>
          <w:sz w:val="22"/>
          <w:szCs w:val="22"/>
          <w:lang w:val="en-US" w:eastAsia="zh-CN"/>
        </w:rPr>
        <w:t>模块化设计：模块化设计，可模块化拓展，可连接同品牌生化免疫流水线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；</w:t>
      </w:r>
    </w:p>
    <w:p w14:paraId="5461A769">
      <w:pPr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default" w:ascii="宋体" w:hAnsi="宋体" w:eastAsia="宋体" w:cs="宋体"/>
          <w:sz w:val="22"/>
          <w:szCs w:val="22"/>
          <w:lang w:val="en-US" w:eastAsia="zh-CN"/>
        </w:rPr>
      </w:pPr>
      <w:r>
        <w:rPr>
          <w:rFonts w:hint="default" w:ascii="宋体" w:hAnsi="宋体" w:eastAsia="宋体" w:cs="宋体"/>
          <w:sz w:val="22"/>
          <w:szCs w:val="22"/>
          <w:lang w:val="en-US" w:eastAsia="zh-CN"/>
        </w:rPr>
        <w:t>分析类型：终点法、速率法、固定时间法和间接离子选择电极法（ISE）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；</w:t>
      </w:r>
    </w:p>
    <w:p w14:paraId="68D2C445">
      <w:pPr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default" w:ascii="宋体" w:hAnsi="宋体" w:eastAsia="宋体" w:cs="宋体"/>
          <w:sz w:val="22"/>
          <w:szCs w:val="22"/>
          <w:lang w:val="en-US" w:eastAsia="zh-CN"/>
        </w:rPr>
      </w:pPr>
      <w:r>
        <w:rPr>
          <w:rFonts w:hint="default" w:ascii="宋体" w:hAnsi="宋体" w:eastAsia="宋体" w:cs="宋体"/>
          <w:sz w:val="22"/>
          <w:szCs w:val="22"/>
          <w:lang w:val="en-US" w:eastAsia="zh-CN"/>
        </w:rPr>
        <w:t>分析方法：比色法、比浊法、乳胶凝集法、均相酶免疫分析法、间接离子选择电极法（ISE）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；</w:t>
      </w:r>
    </w:p>
    <w:p w14:paraId="00E48517">
      <w:pPr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default" w:ascii="宋体" w:hAnsi="宋体" w:eastAsia="宋体" w:cs="宋体"/>
          <w:sz w:val="22"/>
          <w:szCs w:val="22"/>
          <w:lang w:val="en-US" w:eastAsia="zh-CN"/>
        </w:rPr>
      </w:pPr>
      <w:r>
        <w:rPr>
          <w:rFonts w:hint="default" w:ascii="宋体" w:hAnsi="宋体" w:eastAsia="宋体" w:cs="宋体"/>
          <w:sz w:val="22"/>
          <w:szCs w:val="22"/>
          <w:lang w:val="en-US" w:eastAsia="zh-CN"/>
        </w:rPr>
        <w:t>模块独立：生化模块和电解质模块可独立工作，互不干扰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；</w:t>
      </w:r>
    </w:p>
    <w:p w14:paraId="55D50A33">
      <w:pPr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default" w:ascii="宋体" w:hAnsi="宋体" w:eastAsia="宋体" w:cs="宋体"/>
          <w:sz w:val="22"/>
          <w:szCs w:val="22"/>
          <w:lang w:val="en-US" w:eastAsia="zh-CN"/>
        </w:rPr>
      </w:pPr>
      <w:r>
        <w:rPr>
          <w:rFonts w:hint="default" w:ascii="宋体" w:hAnsi="宋体" w:eastAsia="宋体" w:cs="宋体"/>
          <w:sz w:val="22"/>
          <w:szCs w:val="22"/>
          <w:lang w:val="en-US" w:eastAsia="zh-CN"/>
        </w:rPr>
        <w:t>生化模块和电解质模块同时工作综合检测速度≥4750测试/小时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；</w:t>
      </w:r>
    </w:p>
    <w:p w14:paraId="2530F36A">
      <w:pPr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default" w:ascii="宋体" w:hAnsi="宋体" w:eastAsia="宋体" w:cs="宋体"/>
          <w:sz w:val="22"/>
          <w:szCs w:val="22"/>
          <w:lang w:val="en-US" w:eastAsia="zh-CN"/>
        </w:rPr>
      </w:pPr>
      <w:r>
        <w:rPr>
          <w:rFonts w:hint="default" w:ascii="宋体" w:hAnsi="宋体" w:eastAsia="宋体" w:cs="宋体"/>
          <w:sz w:val="22"/>
          <w:szCs w:val="22"/>
          <w:lang w:val="en-US" w:eastAsia="zh-CN"/>
        </w:rPr>
        <w:t>分光光度法检测速度≥4000测试/小时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；</w:t>
      </w:r>
    </w:p>
    <w:p w14:paraId="7BCF6AEF">
      <w:pPr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default" w:ascii="宋体" w:hAnsi="宋体" w:eastAsia="宋体" w:cs="宋体"/>
          <w:sz w:val="22"/>
          <w:szCs w:val="22"/>
          <w:lang w:val="en-US" w:eastAsia="zh-CN"/>
        </w:rPr>
      </w:pPr>
      <w:r>
        <w:rPr>
          <w:rFonts w:hint="default" w:ascii="宋体" w:hAnsi="宋体" w:eastAsia="宋体" w:cs="宋体"/>
          <w:sz w:val="22"/>
          <w:szCs w:val="22"/>
          <w:lang w:val="en-US" w:eastAsia="zh-CN"/>
        </w:rPr>
        <w:t>离子选择电极法（ISE）检测速度≥750测试/小时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；</w:t>
      </w:r>
    </w:p>
    <w:p w14:paraId="289B3907">
      <w:pPr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default" w:ascii="宋体" w:hAnsi="宋体" w:eastAsia="宋体" w:cs="宋体"/>
          <w:sz w:val="22"/>
          <w:szCs w:val="22"/>
          <w:lang w:val="en-US" w:eastAsia="zh-CN"/>
        </w:rPr>
      </w:pPr>
      <w:r>
        <w:rPr>
          <w:rFonts w:hint="default" w:ascii="宋体" w:hAnsi="宋体" w:eastAsia="宋体" w:cs="宋体"/>
          <w:sz w:val="22"/>
          <w:szCs w:val="22"/>
          <w:lang w:val="en-US" w:eastAsia="zh-CN"/>
        </w:rPr>
        <w:t>离子选择电极：至少包含K、Na、Cl三个项目，各项目测试电极可独立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；</w:t>
      </w:r>
    </w:p>
    <w:p w14:paraId="650A9C20">
      <w:pPr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default" w:ascii="宋体" w:hAnsi="宋体" w:eastAsia="宋体" w:cs="宋体"/>
          <w:sz w:val="22"/>
          <w:szCs w:val="22"/>
          <w:lang w:val="en-US" w:eastAsia="zh-CN"/>
        </w:rPr>
      </w:pPr>
      <w:r>
        <w:rPr>
          <w:rFonts w:hint="default" w:ascii="宋体" w:hAnsi="宋体" w:eastAsia="宋体" w:cs="宋体"/>
          <w:sz w:val="22"/>
          <w:szCs w:val="22"/>
          <w:lang w:val="en-US" w:eastAsia="zh-CN"/>
        </w:rPr>
        <w:t>样本类型：血清、血浆、尿液和其他体液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；</w:t>
      </w:r>
    </w:p>
    <w:p w14:paraId="1171C1CD">
      <w:pPr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default" w:ascii="宋体" w:hAnsi="宋体" w:eastAsia="宋体" w:cs="宋体"/>
          <w:sz w:val="22"/>
          <w:szCs w:val="22"/>
          <w:lang w:val="en-US" w:eastAsia="zh-CN"/>
        </w:rPr>
      </w:pPr>
      <w:r>
        <w:rPr>
          <w:rFonts w:hint="default" w:ascii="宋体" w:hAnsi="宋体" w:eastAsia="宋体" w:cs="宋体"/>
          <w:sz w:val="22"/>
          <w:szCs w:val="22"/>
          <w:lang w:val="en-US" w:eastAsia="zh-CN"/>
        </w:rPr>
        <w:t>样本容量：样本架轨道式进样，同时可容纳样本数量≥320个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；</w:t>
      </w:r>
    </w:p>
    <w:p w14:paraId="60D327C9">
      <w:pPr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default" w:ascii="宋体" w:hAnsi="宋体" w:eastAsia="宋体" w:cs="宋体"/>
          <w:sz w:val="22"/>
          <w:szCs w:val="22"/>
          <w:lang w:val="en-US" w:eastAsia="zh-CN"/>
        </w:rPr>
      </w:pPr>
      <w:r>
        <w:rPr>
          <w:rFonts w:hint="default" w:ascii="宋体" w:hAnsi="宋体" w:eastAsia="宋体" w:cs="宋体"/>
          <w:sz w:val="22"/>
          <w:szCs w:val="22"/>
          <w:lang w:val="en-US" w:eastAsia="zh-CN"/>
        </w:rPr>
        <w:t>样本管；可使用原始样本管、分样样本管、可嵌套微量样本杯等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；</w:t>
      </w:r>
    </w:p>
    <w:p w14:paraId="61FECBA0">
      <w:pPr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default" w:ascii="宋体" w:hAnsi="宋体" w:eastAsia="宋体" w:cs="宋体"/>
          <w:sz w:val="22"/>
          <w:szCs w:val="22"/>
          <w:lang w:val="en-US" w:eastAsia="zh-CN"/>
        </w:rPr>
      </w:pPr>
      <w:r>
        <w:rPr>
          <w:rFonts w:hint="default" w:ascii="宋体" w:hAnsi="宋体" w:eastAsia="宋体" w:cs="宋体"/>
          <w:sz w:val="22"/>
          <w:szCs w:val="22"/>
          <w:lang w:val="en-US" w:eastAsia="zh-CN"/>
        </w:rPr>
        <w:t>样本量;最小样本体积≤1.0μL（0.1μL步进）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；</w:t>
      </w:r>
    </w:p>
    <w:p w14:paraId="4142A451">
      <w:pPr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default" w:ascii="宋体" w:hAnsi="宋体" w:eastAsia="宋体" w:cs="宋体"/>
          <w:sz w:val="22"/>
          <w:szCs w:val="22"/>
          <w:lang w:val="en-US" w:eastAsia="zh-CN"/>
        </w:rPr>
      </w:pPr>
      <w:r>
        <w:rPr>
          <w:rFonts w:hint="default" w:ascii="宋体" w:hAnsi="宋体" w:eastAsia="宋体" w:cs="宋体"/>
          <w:sz w:val="22"/>
          <w:szCs w:val="22"/>
          <w:lang w:val="en-US" w:eastAsia="zh-CN"/>
        </w:rPr>
        <w:t>试剂仓:在机试剂位≥100个；试剂仓均为冷藏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；</w:t>
      </w:r>
    </w:p>
    <w:p w14:paraId="76E07C04">
      <w:pPr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default" w:ascii="宋体" w:hAnsi="宋体" w:eastAsia="宋体" w:cs="宋体"/>
          <w:sz w:val="22"/>
          <w:szCs w:val="22"/>
          <w:lang w:val="en-US" w:eastAsia="zh-CN"/>
        </w:rPr>
      </w:pPr>
      <w:r>
        <w:rPr>
          <w:rFonts w:hint="default" w:ascii="宋体" w:hAnsi="宋体" w:eastAsia="宋体" w:cs="宋体"/>
          <w:sz w:val="22"/>
          <w:szCs w:val="22"/>
          <w:lang w:val="en-US" w:eastAsia="zh-CN"/>
        </w:rPr>
        <w:t>反应杯：永久性玻璃反应杯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；</w:t>
      </w:r>
    </w:p>
    <w:p w14:paraId="4DB4D320">
      <w:pPr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default" w:ascii="宋体" w:hAnsi="宋体" w:eastAsia="宋体" w:cs="宋体"/>
          <w:sz w:val="22"/>
          <w:szCs w:val="22"/>
          <w:lang w:val="en-US" w:eastAsia="zh-CN"/>
        </w:rPr>
      </w:pPr>
      <w:r>
        <w:rPr>
          <w:rFonts w:hint="default" w:ascii="宋体" w:hAnsi="宋体" w:eastAsia="宋体" w:cs="宋体"/>
          <w:sz w:val="22"/>
          <w:szCs w:val="22"/>
          <w:lang w:val="en-US" w:eastAsia="zh-CN"/>
        </w:rPr>
        <w:t>反应温度：37°C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；</w:t>
      </w:r>
    </w:p>
    <w:p w14:paraId="2B15D2CE">
      <w:pPr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default" w:ascii="宋体" w:hAnsi="宋体" w:eastAsia="宋体" w:cs="宋体"/>
          <w:sz w:val="22"/>
          <w:szCs w:val="22"/>
          <w:lang w:val="en-US" w:eastAsia="zh-CN"/>
        </w:rPr>
      </w:pPr>
      <w:r>
        <w:rPr>
          <w:rFonts w:hint="default" w:ascii="宋体" w:hAnsi="宋体" w:eastAsia="宋体" w:cs="宋体"/>
          <w:sz w:val="22"/>
          <w:szCs w:val="22"/>
          <w:lang w:val="en-US" w:eastAsia="zh-CN"/>
        </w:rPr>
        <w:t>波长：同时提供≥13个固定波长，波长范围</w:t>
      </w:r>
      <w:bookmarkStart w:id="0" w:name="_GoBack"/>
      <w:bookmarkEnd w:id="0"/>
      <w:r>
        <w:rPr>
          <w:rFonts w:hint="default" w:ascii="宋体" w:hAnsi="宋体" w:eastAsia="宋体" w:cs="宋体"/>
          <w:sz w:val="22"/>
          <w:szCs w:val="22"/>
          <w:lang w:val="en-US" w:eastAsia="zh-CN"/>
        </w:rPr>
        <w:t>340–800nm，可进行单/双波长测试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；</w:t>
      </w:r>
    </w:p>
    <w:p w14:paraId="2D856D38">
      <w:pPr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default" w:ascii="宋体" w:hAnsi="宋体" w:eastAsia="宋体" w:cs="宋体"/>
          <w:sz w:val="22"/>
          <w:szCs w:val="22"/>
          <w:lang w:val="en-US" w:eastAsia="zh-CN"/>
        </w:rPr>
      </w:pPr>
      <w:r>
        <w:rPr>
          <w:rFonts w:hint="default" w:ascii="宋体" w:hAnsi="宋体" w:eastAsia="宋体" w:cs="宋体"/>
          <w:sz w:val="22"/>
          <w:szCs w:val="22"/>
          <w:lang w:val="en-US" w:eastAsia="zh-CN"/>
        </w:rPr>
        <w:t>校准：可预设≥100个校准品，可储存历史校准图形数据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；</w:t>
      </w:r>
    </w:p>
    <w:p w14:paraId="7D9DA1D4">
      <w:pPr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default" w:ascii="宋体" w:hAnsi="宋体" w:eastAsia="宋体" w:cs="宋体"/>
          <w:sz w:val="22"/>
          <w:szCs w:val="22"/>
          <w:lang w:val="en-US" w:eastAsia="zh-CN"/>
        </w:rPr>
      </w:pPr>
      <w:r>
        <w:rPr>
          <w:rFonts w:hint="default" w:ascii="宋体" w:hAnsi="宋体" w:eastAsia="宋体" w:cs="宋体"/>
          <w:sz w:val="22"/>
          <w:szCs w:val="22"/>
          <w:lang w:val="en-US" w:eastAsia="zh-CN"/>
        </w:rPr>
        <w:t>质量控制：内置Westgard质控规则、Twin Plot和Levey Jennings图形规则，可预设≥100个质控品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。</w:t>
      </w:r>
    </w:p>
    <w:p w14:paraId="20611BCC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200"/>
        <w:jc w:val="both"/>
        <w:textAlignment w:val="auto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</w:p>
    <w:p w14:paraId="6954A40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3" w:firstLineChars="200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>高压氧治疗系统</w:t>
      </w:r>
    </w:p>
    <w:p w14:paraId="1404561F">
      <w:pPr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440" w:firstLineChars="200"/>
        <w:textAlignment w:val="auto"/>
        <w:rPr>
          <w:rFonts w:hint="default" w:ascii="宋体" w:hAnsi="宋体" w:eastAsia="宋体" w:cs="宋体"/>
          <w:sz w:val="22"/>
          <w:szCs w:val="22"/>
          <w:lang w:val="en-US" w:eastAsia="zh-CN"/>
        </w:rPr>
      </w:pPr>
      <w:r>
        <w:rPr>
          <w:rFonts w:hint="default" w:ascii="宋体" w:hAnsi="宋体" w:eastAsia="宋体" w:cs="宋体"/>
          <w:sz w:val="22"/>
          <w:szCs w:val="22"/>
          <w:lang w:val="en-US" w:eastAsia="zh-CN"/>
        </w:rPr>
        <w:t>单台氧舱总用电量约为800VA，由市电引至氧舱大厅(220V)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；</w:t>
      </w:r>
    </w:p>
    <w:p w14:paraId="081DAB91">
      <w:pPr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440" w:firstLineChars="200"/>
        <w:textAlignment w:val="auto"/>
        <w:rPr>
          <w:rFonts w:hint="default" w:ascii="宋体" w:hAnsi="宋体" w:eastAsia="宋体" w:cs="宋体"/>
          <w:sz w:val="22"/>
          <w:szCs w:val="22"/>
          <w:lang w:val="en-US" w:eastAsia="zh-CN"/>
        </w:rPr>
      </w:pPr>
      <w:r>
        <w:rPr>
          <w:rFonts w:hint="default" w:ascii="宋体" w:hAnsi="宋体" w:eastAsia="宋体" w:cs="宋体"/>
          <w:sz w:val="22"/>
          <w:szCs w:val="22"/>
          <w:lang w:val="en-US" w:eastAsia="zh-CN"/>
        </w:rPr>
        <w:t>氧舱大厅及氧气瓶间（如有）应采用防爆电器，并设有灭火装置开关、插座等设置到大厅之处合适位置（大厅内如需则需防爆型）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；</w:t>
      </w:r>
    </w:p>
    <w:p w14:paraId="16FA827D">
      <w:pPr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440" w:firstLineChars="200"/>
        <w:textAlignment w:val="auto"/>
        <w:rPr>
          <w:rFonts w:hint="default" w:ascii="宋体" w:hAnsi="宋体" w:eastAsia="宋体" w:cs="宋体"/>
          <w:sz w:val="22"/>
          <w:szCs w:val="22"/>
          <w:lang w:val="en-US" w:eastAsia="zh-CN"/>
        </w:rPr>
      </w:pPr>
      <w:r>
        <w:rPr>
          <w:rFonts w:hint="default" w:ascii="宋体" w:hAnsi="宋体" w:eastAsia="宋体" w:cs="宋体"/>
          <w:sz w:val="22"/>
          <w:szCs w:val="22"/>
          <w:lang w:val="en-US" w:eastAsia="zh-CN"/>
        </w:rPr>
        <w:t>氧气瓶间（如有）门均应设为外开式，且为铁皮包门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；</w:t>
      </w:r>
    </w:p>
    <w:p w14:paraId="6F4CF1EF">
      <w:pPr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440" w:firstLineChars="200"/>
        <w:textAlignment w:val="auto"/>
        <w:rPr>
          <w:rFonts w:hint="default" w:ascii="宋体" w:hAnsi="宋体" w:eastAsia="宋体" w:cs="宋体"/>
          <w:sz w:val="22"/>
          <w:szCs w:val="22"/>
          <w:lang w:val="en-US" w:eastAsia="zh-CN"/>
        </w:rPr>
      </w:pPr>
      <w:r>
        <w:rPr>
          <w:rFonts w:hint="default" w:ascii="宋体" w:hAnsi="宋体" w:eastAsia="宋体" w:cs="宋体"/>
          <w:sz w:val="22"/>
          <w:szCs w:val="22"/>
          <w:lang w:val="en-US" w:eastAsia="zh-CN"/>
        </w:rPr>
        <w:t>氧舱站附近建议预埋独立接地体（地下部分采用不锈钢或铜质材料）。其接地电阻不大于4欧姆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；</w:t>
      </w:r>
    </w:p>
    <w:p w14:paraId="007C16BA">
      <w:pPr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440" w:firstLineChars="200"/>
        <w:textAlignment w:val="auto"/>
        <w:rPr>
          <w:rFonts w:hint="default" w:ascii="宋体" w:hAnsi="宋体" w:eastAsia="宋体" w:cs="宋体"/>
          <w:sz w:val="22"/>
          <w:szCs w:val="22"/>
          <w:lang w:val="en-US" w:eastAsia="zh-CN"/>
        </w:rPr>
      </w:pPr>
      <w:r>
        <w:rPr>
          <w:rFonts w:hint="default" w:ascii="宋体" w:hAnsi="宋体" w:eastAsia="宋体" w:cs="宋体"/>
          <w:sz w:val="22"/>
          <w:szCs w:val="22"/>
          <w:lang w:val="en-US" w:eastAsia="zh-CN"/>
        </w:rPr>
        <w:t>氧源供养管道布置到氧舱大厅，设置阀门一个，管径不小于14MM压力不低于0.7MPa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；</w:t>
      </w:r>
    </w:p>
    <w:p w14:paraId="07E46DC6">
      <w:pPr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440" w:firstLineChars="200"/>
        <w:textAlignment w:val="auto"/>
        <w:rPr>
          <w:rFonts w:hint="default" w:ascii="宋体" w:hAnsi="宋体" w:eastAsia="宋体" w:cs="宋体"/>
          <w:sz w:val="22"/>
          <w:szCs w:val="22"/>
          <w:lang w:val="en-US" w:eastAsia="zh-CN"/>
        </w:rPr>
      </w:pPr>
      <w:r>
        <w:rPr>
          <w:rFonts w:hint="default" w:ascii="宋体" w:hAnsi="宋体" w:eastAsia="宋体" w:cs="宋体"/>
          <w:sz w:val="22"/>
          <w:szCs w:val="22"/>
          <w:lang w:val="en-US" w:eastAsia="zh-CN"/>
        </w:rPr>
        <w:t>空调室外机穿墙管路在墙上离地100MM处预留墙洞070mm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；</w:t>
      </w:r>
    </w:p>
    <w:p w14:paraId="5424D6E9">
      <w:pPr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440" w:firstLineChars="200"/>
        <w:textAlignment w:val="auto"/>
        <w:rPr>
          <w:rFonts w:hint="default" w:ascii="宋体" w:hAnsi="宋体" w:eastAsia="宋体" w:cs="宋体"/>
          <w:sz w:val="22"/>
          <w:szCs w:val="22"/>
          <w:lang w:val="en-US" w:eastAsia="zh-CN"/>
        </w:rPr>
      </w:pPr>
      <w:r>
        <w:rPr>
          <w:rFonts w:hint="default" w:ascii="宋体" w:hAnsi="宋体" w:eastAsia="宋体" w:cs="宋体"/>
          <w:sz w:val="22"/>
          <w:szCs w:val="22"/>
          <w:lang w:val="en-US" w:eastAsia="zh-CN"/>
        </w:rPr>
        <w:t>在舱体尾端的墙上离地100mm处预留排氧管路墙洞050mm（排氧管）规格为不锈钢管028×2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。</w:t>
      </w:r>
    </w:p>
    <w:p w14:paraId="165B124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</w:p>
    <w:p w14:paraId="103E428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3" w:firstLineChars="200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>天轨减重系统电动位移机</w:t>
      </w:r>
    </w:p>
    <w:p w14:paraId="4BE406F7">
      <w:pPr>
        <w:keepNext w:val="0"/>
        <w:keepLines w:val="0"/>
        <w:pageBreakBefore w:val="0"/>
        <w:widowControl w:val="0"/>
        <w:numPr>
          <w:ilvl w:val="0"/>
          <w:numId w:val="1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440" w:firstLineChars="200"/>
        <w:textAlignment w:val="auto"/>
        <w:rPr>
          <w:rFonts w:hint="default" w:ascii="宋体" w:hAnsi="宋体" w:eastAsia="宋体" w:cs="宋体"/>
          <w:sz w:val="22"/>
          <w:szCs w:val="22"/>
          <w:lang w:val="en-US" w:eastAsia="zh-CN"/>
        </w:rPr>
      </w:pPr>
      <w:r>
        <w:rPr>
          <w:rFonts w:hint="default" w:ascii="宋体" w:hAnsi="宋体" w:eastAsia="宋体" w:cs="宋体"/>
          <w:sz w:val="22"/>
          <w:szCs w:val="22"/>
          <w:lang w:val="en-US" w:eastAsia="zh-CN"/>
        </w:rPr>
        <w:t>主要由移位机主机、轨道、升降带、吊架、充电系统(充电站、 充电器和 DC 电源线)、手持控制器、吊兜和专用训练马甲组成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；</w:t>
      </w:r>
    </w:p>
    <w:p w14:paraId="0FF9595C">
      <w:pPr>
        <w:keepNext w:val="0"/>
        <w:keepLines w:val="0"/>
        <w:pageBreakBefore w:val="0"/>
        <w:widowControl w:val="0"/>
        <w:numPr>
          <w:ilvl w:val="0"/>
          <w:numId w:val="1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440" w:firstLineChars="200"/>
        <w:textAlignment w:val="auto"/>
        <w:rPr>
          <w:rFonts w:hint="default" w:ascii="宋体" w:hAnsi="宋体" w:eastAsia="宋体" w:cs="宋体"/>
          <w:sz w:val="22"/>
          <w:szCs w:val="22"/>
          <w:lang w:val="en-US" w:eastAsia="zh-CN"/>
        </w:rPr>
      </w:pPr>
      <w:r>
        <w:rPr>
          <w:rFonts w:hint="default" w:ascii="宋体" w:hAnsi="宋体" w:eastAsia="宋体" w:cs="宋体"/>
          <w:sz w:val="22"/>
          <w:szCs w:val="22"/>
          <w:lang w:val="en-US" w:eastAsia="zh-CN"/>
        </w:rPr>
        <w:t>移位主机运动方向：两向机头，手控器控制上升、下降移动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；</w:t>
      </w:r>
    </w:p>
    <w:p w14:paraId="3C7BF904">
      <w:pPr>
        <w:keepNext w:val="0"/>
        <w:keepLines w:val="0"/>
        <w:pageBreakBefore w:val="0"/>
        <w:widowControl w:val="0"/>
        <w:numPr>
          <w:ilvl w:val="0"/>
          <w:numId w:val="1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440" w:firstLineChars="200"/>
        <w:textAlignment w:val="auto"/>
        <w:rPr>
          <w:rFonts w:hint="default" w:ascii="宋体" w:hAnsi="宋体" w:eastAsia="宋体" w:cs="宋体"/>
          <w:sz w:val="22"/>
          <w:szCs w:val="22"/>
          <w:lang w:val="en-US" w:eastAsia="zh-CN"/>
        </w:rPr>
      </w:pPr>
      <w:r>
        <w:rPr>
          <w:rFonts w:hint="default" w:ascii="宋体" w:hAnsi="宋体" w:eastAsia="宋体" w:cs="宋体"/>
          <w:sz w:val="22"/>
          <w:szCs w:val="22"/>
          <w:lang w:val="en-US" w:eastAsia="zh-CN"/>
        </w:rPr>
        <w:t>最大载重量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≧</w:t>
      </w:r>
      <w:r>
        <w:rPr>
          <w:rFonts w:hint="default" w:ascii="宋体" w:hAnsi="宋体" w:eastAsia="宋体" w:cs="宋体"/>
          <w:sz w:val="22"/>
          <w:szCs w:val="22"/>
          <w:lang w:val="en-US" w:eastAsia="zh-CN"/>
        </w:rPr>
        <w:t>300kg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；</w:t>
      </w:r>
    </w:p>
    <w:p w14:paraId="3C1A0F8D">
      <w:pPr>
        <w:keepNext w:val="0"/>
        <w:keepLines w:val="0"/>
        <w:pageBreakBefore w:val="0"/>
        <w:widowControl w:val="0"/>
        <w:numPr>
          <w:ilvl w:val="0"/>
          <w:numId w:val="1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440" w:firstLineChars="200"/>
        <w:textAlignment w:val="auto"/>
        <w:rPr>
          <w:rFonts w:hint="default" w:ascii="宋体" w:hAnsi="宋体" w:eastAsia="宋体" w:cs="宋体"/>
          <w:sz w:val="22"/>
          <w:szCs w:val="22"/>
          <w:lang w:val="en-US" w:eastAsia="zh-CN"/>
        </w:rPr>
      </w:pPr>
      <w:r>
        <w:rPr>
          <w:rFonts w:hint="default" w:ascii="宋体" w:hAnsi="宋体" w:eastAsia="宋体" w:cs="宋体"/>
          <w:sz w:val="22"/>
          <w:szCs w:val="22"/>
          <w:lang w:val="en-US" w:eastAsia="zh-CN"/>
        </w:rPr>
        <w:t>最大行程(上升/下降):2400mm; 误差±10%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；</w:t>
      </w:r>
    </w:p>
    <w:p w14:paraId="7A014941">
      <w:pPr>
        <w:keepNext w:val="0"/>
        <w:keepLines w:val="0"/>
        <w:pageBreakBefore w:val="0"/>
        <w:widowControl w:val="0"/>
        <w:numPr>
          <w:ilvl w:val="0"/>
          <w:numId w:val="1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440" w:firstLineChars="200"/>
        <w:textAlignment w:val="auto"/>
        <w:rPr>
          <w:rFonts w:hint="default" w:ascii="宋体" w:hAnsi="宋体" w:eastAsia="宋体" w:cs="宋体"/>
          <w:sz w:val="22"/>
          <w:szCs w:val="22"/>
          <w:lang w:val="en-US" w:eastAsia="zh-CN"/>
        </w:rPr>
      </w:pPr>
      <w:r>
        <w:rPr>
          <w:rFonts w:hint="default" w:ascii="宋体" w:hAnsi="宋体" w:eastAsia="宋体" w:cs="宋体"/>
          <w:sz w:val="22"/>
          <w:szCs w:val="22"/>
          <w:lang w:val="en-US" w:eastAsia="zh-CN"/>
        </w:rPr>
        <w:t>上升速度4.5cm/s (空载)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；</w:t>
      </w:r>
      <w:r>
        <w:rPr>
          <w:rFonts w:hint="default" w:ascii="宋体" w:hAnsi="宋体" w:eastAsia="宋体" w:cs="宋体"/>
          <w:sz w:val="22"/>
          <w:szCs w:val="22"/>
          <w:lang w:val="en-US" w:eastAsia="zh-CN"/>
        </w:rPr>
        <w:t>3.8cm/s (载重100kg)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；</w:t>
      </w:r>
      <w:r>
        <w:rPr>
          <w:rFonts w:hint="default" w:ascii="宋体" w:hAnsi="宋体" w:eastAsia="宋体" w:cs="宋体"/>
          <w:sz w:val="22"/>
          <w:szCs w:val="22"/>
          <w:lang w:val="en-US" w:eastAsia="zh-CN"/>
        </w:rPr>
        <w:t>3.3cm/s (载重200kg), 误差±10%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；</w:t>
      </w:r>
    </w:p>
    <w:p w14:paraId="47D877D0">
      <w:pPr>
        <w:keepNext w:val="0"/>
        <w:keepLines w:val="0"/>
        <w:pageBreakBefore w:val="0"/>
        <w:widowControl w:val="0"/>
        <w:numPr>
          <w:ilvl w:val="0"/>
          <w:numId w:val="1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440" w:firstLineChars="200"/>
        <w:textAlignment w:val="auto"/>
        <w:rPr>
          <w:rFonts w:hint="default" w:ascii="宋体" w:hAnsi="宋体" w:eastAsia="宋体" w:cs="宋体"/>
          <w:sz w:val="22"/>
          <w:szCs w:val="22"/>
          <w:lang w:val="en-US" w:eastAsia="zh-CN"/>
        </w:rPr>
      </w:pPr>
      <w:r>
        <w:rPr>
          <w:rFonts w:hint="default" w:ascii="宋体" w:hAnsi="宋体" w:eastAsia="宋体" w:cs="宋体"/>
          <w:sz w:val="22"/>
          <w:szCs w:val="22"/>
          <w:lang w:val="en-US" w:eastAsia="zh-CN"/>
        </w:rPr>
        <w:t>充电方式：移位机主机蓄电池充电器AC220V,50Hz,输出DC28V,1A内部电源：蓄电池24V,5Ah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；</w:t>
      </w:r>
      <w:r>
        <w:rPr>
          <w:rFonts w:hint="default" w:ascii="宋体" w:hAnsi="宋体" w:eastAsia="宋体" w:cs="宋体"/>
          <w:sz w:val="22"/>
          <w:szCs w:val="22"/>
          <w:lang w:val="en-US" w:eastAsia="zh-CN"/>
        </w:rPr>
        <w:t>充电站可在轨道任意位置安装，主机于充电站充电；系统具有智能电池管理模块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；</w:t>
      </w:r>
    </w:p>
    <w:p w14:paraId="7A09E56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</w:p>
    <w:p w14:paraId="5D7685E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3" w:firstLineChars="200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>听力筛查仪</w:t>
      </w:r>
    </w:p>
    <w:p w14:paraId="58C330E0">
      <w:pPr>
        <w:keepNext w:val="0"/>
        <w:keepLines w:val="0"/>
        <w:pageBreakBefore w:val="0"/>
        <w:widowControl w:val="0"/>
        <w:numPr>
          <w:ilvl w:val="0"/>
          <w:numId w:val="1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功能要求：在同一台机器上具备TEOAE+AABR测试功能；</w:t>
      </w:r>
    </w:p>
    <w:p w14:paraId="4513484A">
      <w:pPr>
        <w:keepNext w:val="0"/>
        <w:keepLines w:val="0"/>
        <w:pageBreakBefore w:val="0"/>
        <w:widowControl w:val="0"/>
        <w:numPr>
          <w:ilvl w:val="0"/>
          <w:numId w:val="1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TEOAE测试时显示：统计波形、测量进度、 TEOAE 检测水平、噪音水平；结果可显示：测试结果通过/转诊、噪音水平、DP听力图；</w:t>
      </w:r>
    </w:p>
    <w:p w14:paraId="36646A8E">
      <w:pPr>
        <w:keepNext w:val="0"/>
        <w:keepLines w:val="0"/>
        <w:pageBreakBefore w:val="0"/>
        <w:widowControl w:val="0"/>
        <w:numPr>
          <w:ilvl w:val="0"/>
          <w:numId w:val="1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AABR测试可双耳同时给声测试，也可单独选择任意一只耳朵测试；</w:t>
      </w:r>
    </w:p>
    <w:p w14:paraId="20DDCE7B">
      <w:pPr>
        <w:keepNext w:val="0"/>
        <w:keepLines w:val="0"/>
        <w:pageBreakBefore w:val="0"/>
        <w:widowControl w:val="0"/>
        <w:numPr>
          <w:ilvl w:val="0"/>
          <w:numId w:val="1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刺激声强度：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ab/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35、 40 或 45 dB nHL短声 ，测试结果显示：统计图形、测试进度、 脑电EEG 水平、 ABR信号检测概率 ；</w:t>
      </w:r>
    </w:p>
    <w:p w14:paraId="3275B7A0">
      <w:pPr>
        <w:keepNext w:val="0"/>
        <w:keepLines w:val="0"/>
        <w:pageBreakBefore w:val="0"/>
        <w:widowControl w:val="0"/>
        <w:numPr>
          <w:ilvl w:val="0"/>
          <w:numId w:val="1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配备尺寸≥89.4 mm (3.5 in)的彩色液晶中文触摸屏显示屏，分辨率≥240 x 320 像素 ，具备可调LED背景光、电阻式触摸屏控制键 ；</w:t>
      </w:r>
    </w:p>
    <w:p w14:paraId="58C832BE">
      <w:pPr>
        <w:keepNext w:val="0"/>
        <w:keepLines w:val="0"/>
        <w:pageBreakBefore w:val="0"/>
        <w:widowControl w:val="0"/>
        <w:numPr>
          <w:ilvl w:val="0"/>
          <w:numId w:val="1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内置扬声器，用于击键声和通过的参考提示；</w:t>
      </w:r>
    </w:p>
    <w:p w14:paraId="77E6CF58">
      <w:pPr>
        <w:keepNext w:val="0"/>
        <w:keepLines w:val="0"/>
        <w:pageBreakBefore w:val="0"/>
        <w:widowControl w:val="0"/>
        <w:numPr>
          <w:ilvl w:val="0"/>
          <w:numId w:val="1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包含中文在内的五种以上语言可供选择；</w:t>
      </w:r>
    </w:p>
    <w:p w14:paraId="30FAACBE">
      <w:pPr>
        <w:keepNext w:val="0"/>
        <w:keepLines w:val="0"/>
        <w:pageBreakBefore w:val="0"/>
        <w:widowControl w:val="0"/>
        <w:numPr>
          <w:ilvl w:val="0"/>
          <w:numId w:val="1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主机可储存≧250名患者,储存≧500个以上测试结果；</w:t>
      </w:r>
    </w:p>
    <w:p w14:paraId="0789EA3E">
      <w:pPr>
        <w:keepNext w:val="0"/>
        <w:keepLines w:val="0"/>
        <w:pageBreakBefore w:val="0"/>
        <w:widowControl w:val="0"/>
        <w:numPr>
          <w:ilvl w:val="0"/>
          <w:numId w:val="1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主机与坞站用红外连接, 坞站使用USB与电脑USB联机；</w:t>
      </w:r>
    </w:p>
    <w:p w14:paraId="4E83A6DD">
      <w:pPr>
        <w:keepNext w:val="0"/>
        <w:keepLines w:val="0"/>
        <w:pageBreakBefore w:val="0"/>
        <w:widowControl w:val="0"/>
        <w:numPr>
          <w:ilvl w:val="0"/>
          <w:numId w:val="1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配备电池≧2块，电池可连续使用 8 小时以上，主机具有5级电量指示器，可直观显示电池电量。</w:t>
      </w:r>
    </w:p>
    <w:p w14:paraId="2B76BEB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</w:p>
    <w:p w14:paraId="18FF6CB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3" w:firstLineChars="200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>便携式彩色多普勒超声系统</w:t>
      </w:r>
    </w:p>
    <w:p w14:paraId="63495BA0">
      <w:pPr>
        <w:keepNext w:val="0"/>
        <w:keepLines w:val="0"/>
        <w:pageBreakBefore w:val="0"/>
        <w:widowControl w:val="0"/>
        <w:numPr>
          <w:ilvl w:val="0"/>
          <w:numId w:val="1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全数字化全身型高端便携式彩色多谱勒超声诊断系统，要求满足腹部、妇科、产科、心脏、小器官与浅表组织、血管、颅脑, 泌尿、介入性超声、儿科、急诊、麻醉、等全身应用。</w:t>
      </w:r>
    </w:p>
    <w:p w14:paraId="70440C47">
      <w:pPr>
        <w:keepNext w:val="0"/>
        <w:keepLines w:val="0"/>
        <w:pageBreakBefore w:val="0"/>
        <w:widowControl w:val="0"/>
        <w:numPr>
          <w:ilvl w:val="0"/>
          <w:numId w:val="1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≥15寸高清晰、医用专业彩色LED显示屏。</w:t>
      </w:r>
    </w:p>
    <w:p w14:paraId="7F953071">
      <w:pPr>
        <w:keepNext w:val="0"/>
        <w:keepLines w:val="0"/>
        <w:pageBreakBefore w:val="0"/>
        <w:widowControl w:val="0"/>
        <w:numPr>
          <w:ilvl w:val="0"/>
          <w:numId w:val="1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整机重量≤6.5kg（含电池）。</w:t>
      </w:r>
    </w:p>
    <w:p w14:paraId="0855419C">
      <w:pPr>
        <w:keepNext w:val="0"/>
        <w:keepLines w:val="0"/>
        <w:pageBreakBefore w:val="0"/>
        <w:widowControl w:val="0"/>
        <w:numPr>
          <w:ilvl w:val="0"/>
          <w:numId w:val="1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具备穿刺针增强技术，要求具有双屏实时对比显示，增强前后效果，并同时支持增强平面多角度可调 。</w:t>
      </w:r>
    </w:p>
    <w:p w14:paraId="1C6EC9A4">
      <w:pPr>
        <w:keepNext w:val="0"/>
        <w:keepLines w:val="0"/>
        <w:pageBreakBefore w:val="0"/>
        <w:widowControl w:val="0"/>
        <w:numPr>
          <w:ilvl w:val="0"/>
          <w:numId w:val="1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解剖M型模式 ，要求M取样线≥2条，能360度任意旋转角度，同时要求支持实时扫描以及后处理离线分析过程中重构M型图像。</w:t>
      </w:r>
    </w:p>
    <w:p w14:paraId="6D87ADAA">
      <w:pPr>
        <w:keepNext w:val="0"/>
        <w:keepLines w:val="0"/>
        <w:pageBreakBefore w:val="0"/>
        <w:widowControl w:val="0"/>
        <w:numPr>
          <w:ilvl w:val="0"/>
          <w:numId w:val="1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频谱多普勒成像，包括脉冲多普勒、高脉冲重复频率、连续波多普勒。</w:t>
      </w:r>
    </w:p>
    <w:p w14:paraId="7B0AEB96">
      <w:pPr>
        <w:keepNext w:val="0"/>
        <w:keepLines w:val="0"/>
        <w:pageBreakBefore w:val="0"/>
        <w:widowControl w:val="0"/>
        <w:numPr>
          <w:ilvl w:val="0"/>
          <w:numId w:val="1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内置超声工作站，支持同步存储，即后台存储或导出图像数据的同时前台可以完成实时扫描，不影响检查操作。</w:t>
      </w:r>
    </w:p>
    <w:p w14:paraId="2642DEC3">
      <w:pPr>
        <w:keepNext w:val="0"/>
        <w:keepLines w:val="0"/>
        <w:pageBreakBefore w:val="0"/>
        <w:widowControl w:val="0"/>
        <w:numPr>
          <w:ilvl w:val="0"/>
          <w:numId w:val="1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可支持升级心脏经食道探头，具有≥6种频率的变频范围，扫描角度≥90度</w:t>
      </w:r>
    </w:p>
    <w:p w14:paraId="679FAFB1">
      <w:pPr>
        <w:keepNext w:val="0"/>
        <w:keepLines w:val="0"/>
        <w:pageBreakBefore w:val="0"/>
        <w:widowControl w:val="0"/>
        <w:numPr>
          <w:ilvl w:val="0"/>
          <w:numId w:val="1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支持移动设备无线传输和远程实时培训、教学，要求将机器超声图像、实时扫查图像、切面、打图手法通过无线网络直接发送到智能移动终端平台。</w:t>
      </w:r>
    </w:p>
    <w:p w14:paraId="4F9CDC5F">
      <w:pPr>
        <w:keepNext w:val="0"/>
        <w:keepLines w:val="0"/>
        <w:pageBreakBefore w:val="0"/>
        <w:widowControl w:val="0"/>
        <w:numPr>
          <w:ilvl w:val="0"/>
          <w:numId w:val="1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探头配置</w:t>
      </w:r>
      <w:r>
        <w:rPr>
          <w:rFonts w:hint="eastAsia" w:ascii="宋体" w:hAnsi="宋体" w:cs="宋体"/>
          <w:sz w:val="22"/>
          <w:szCs w:val="22"/>
          <w:lang w:val="en-US" w:eastAsia="zh-CN"/>
        </w:rPr>
        <w:t>：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线阵探头一把，凸阵探头一把，相控阵探头一把。</w:t>
      </w:r>
    </w:p>
    <w:p w14:paraId="3181597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</w:p>
    <w:p w14:paraId="4521B91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440" w:firstLineChars="200"/>
        <w:textAlignment w:val="auto"/>
        <w:rPr>
          <w:rFonts w:hint="default" w:ascii="宋体" w:hAnsi="宋体" w:eastAsia="宋体" w:cs="宋体"/>
          <w:sz w:val="22"/>
          <w:szCs w:val="22"/>
          <w:lang w:val="en-US" w:eastAsia="zh-CN"/>
        </w:rPr>
      </w:pPr>
    </w:p>
    <w:sectPr>
      <w:pgSz w:w="11906" w:h="16838"/>
      <w:pgMar w:top="1440" w:right="1417" w:bottom="144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Sans Serif">
    <w:panose1 w:val="020B0604020202020204"/>
    <w:charset w:val="00"/>
    <w:family w:val="swiss"/>
    <w:pitch w:val="default"/>
    <w:sig w:usb0="E5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5E7B4A7"/>
    <w:multiLevelType w:val="singleLevel"/>
    <w:tmpl w:val="95E7B4A7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1">
    <w:nsid w:val="B732FCB8"/>
    <w:multiLevelType w:val="singleLevel"/>
    <w:tmpl w:val="B732FCB8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2">
    <w:nsid w:val="C17A129B"/>
    <w:multiLevelType w:val="singleLevel"/>
    <w:tmpl w:val="C17A129B"/>
    <w:lvl w:ilvl="0" w:tentative="0">
      <w:start w:val="1"/>
      <w:numFmt w:val="decimal"/>
      <w:suff w:val="nothing"/>
      <w:lvlText w:val="%1．"/>
      <w:lvlJc w:val="left"/>
      <w:pPr>
        <w:ind w:left="190" w:firstLine="400"/>
      </w:pPr>
      <w:rPr>
        <w:rFonts w:hint="default"/>
      </w:rPr>
    </w:lvl>
  </w:abstractNum>
  <w:abstractNum w:abstractNumId="3">
    <w:nsid w:val="D30606AC"/>
    <w:multiLevelType w:val="singleLevel"/>
    <w:tmpl w:val="D30606AC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4">
    <w:nsid w:val="F2488BD4"/>
    <w:multiLevelType w:val="singleLevel"/>
    <w:tmpl w:val="F2488BD4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5">
    <w:nsid w:val="F71C93EF"/>
    <w:multiLevelType w:val="singleLevel"/>
    <w:tmpl w:val="F71C93EF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6">
    <w:nsid w:val="0CD9E2AC"/>
    <w:multiLevelType w:val="singleLevel"/>
    <w:tmpl w:val="0CD9E2AC"/>
    <w:lvl w:ilvl="0" w:tentative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7">
    <w:nsid w:val="1EB1924A"/>
    <w:multiLevelType w:val="singleLevel"/>
    <w:tmpl w:val="1EB1924A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8">
    <w:nsid w:val="2B61116F"/>
    <w:multiLevelType w:val="singleLevel"/>
    <w:tmpl w:val="2B61116F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9">
    <w:nsid w:val="493A2C3B"/>
    <w:multiLevelType w:val="singleLevel"/>
    <w:tmpl w:val="493A2C3B"/>
    <w:lvl w:ilvl="0" w:tentative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10">
    <w:nsid w:val="4FCD5797"/>
    <w:multiLevelType w:val="singleLevel"/>
    <w:tmpl w:val="4FCD5797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11">
    <w:nsid w:val="5C14574B"/>
    <w:multiLevelType w:val="singleLevel"/>
    <w:tmpl w:val="5C14574B"/>
    <w:lvl w:ilvl="0" w:tentative="0">
      <w:start w:val="1"/>
      <w:numFmt w:val="decimal"/>
      <w:suff w:val="nothing"/>
      <w:lvlText w:val="%1．"/>
      <w:lvlJc w:val="left"/>
      <w:pPr>
        <w:ind w:left="190" w:firstLine="400"/>
      </w:pPr>
      <w:rPr>
        <w:rFonts w:hint="default"/>
      </w:rPr>
    </w:lvl>
  </w:abstractNum>
  <w:abstractNum w:abstractNumId="12">
    <w:nsid w:val="6C5C947F"/>
    <w:multiLevelType w:val="singleLevel"/>
    <w:tmpl w:val="6C5C947F"/>
    <w:lvl w:ilvl="0" w:tentative="0">
      <w:start w:val="1"/>
      <w:numFmt w:val="decimal"/>
      <w:suff w:val="nothing"/>
      <w:lvlText w:val="%1．"/>
      <w:lvlJc w:val="left"/>
      <w:pPr>
        <w:ind w:left="190" w:firstLine="400"/>
      </w:pPr>
      <w:rPr>
        <w:rFonts w:hint="default"/>
      </w:rPr>
    </w:lvl>
  </w:abstractNum>
  <w:abstractNum w:abstractNumId="13">
    <w:nsid w:val="74E1A42F"/>
    <w:multiLevelType w:val="singleLevel"/>
    <w:tmpl w:val="74E1A42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3"/>
  </w:num>
  <w:num w:numId="2">
    <w:abstractNumId w:val="11"/>
  </w:num>
  <w:num w:numId="3">
    <w:abstractNumId w:val="9"/>
  </w:num>
  <w:num w:numId="4">
    <w:abstractNumId w:val="6"/>
  </w:num>
  <w:num w:numId="5">
    <w:abstractNumId w:val="8"/>
  </w:num>
  <w:num w:numId="6">
    <w:abstractNumId w:val="1"/>
  </w:num>
  <w:num w:numId="7">
    <w:abstractNumId w:val="2"/>
  </w:num>
  <w:num w:numId="8">
    <w:abstractNumId w:val="12"/>
  </w:num>
  <w:num w:numId="9">
    <w:abstractNumId w:val="7"/>
  </w:num>
  <w:num w:numId="10">
    <w:abstractNumId w:val="5"/>
  </w:num>
  <w:num w:numId="11">
    <w:abstractNumId w:val="4"/>
  </w:num>
  <w:num w:numId="12">
    <w:abstractNumId w:val="10"/>
  </w:num>
  <w:num w:numId="13">
    <w:abstractNumId w:val="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5ZDJmMWE2MmEzNzNhNWQ5Y2MwYThkNWFlNjg0MzMifQ=="/>
  </w:docVars>
  <w:rsids>
    <w:rsidRoot w:val="660461E9"/>
    <w:rsid w:val="01BE4918"/>
    <w:rsid w:val="03707815"/>
    <w:rsid w:val="15E56AF9"/>
    <w:rsid w:val="18734E78"/>
    <w:rsid w:val="223364AD"/>
    <w:rsid w:val="37AA0CE2"/>
    <w:rsid w:val="3826247E"/>
    <w:rsid w:val="3D61599D"/>
    <w:rsid w:val="3FFD0999"/>
    <w:rsid w:val="462166C3"/>
    <w:rsid w:val="4DDC4236"/>
    <w:rsid w:val="59DC7D08"/>
    <w:rsid w:val="660461E9"/>
    <w:rsid w:val="667C4B30"/>
    <w:rsid w:val="74C5273E"/>
    <w:rsid w:val="767C4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line="380" w:lineRule="exact"/>
    </w:pPr>
    <w:rPr>
      <w:kern w:val="0"/>
      <w:sz w:val="24"/>
    </w:rPr>
  </w:style>
  <w:style w:type="paragraph" w:styleId="3">
    <w:name w:val="toc 2"/>
    <w:basedOn w:val="1"/>
    <w:next w:val="1"/>
    <w:unhideWhenUsed/>
    <w:qFormat/>
    <w:uiPriority w:val="0"/>
    <w:pPr>
      <w:ind w:left="420" w:leftChars="200"/>
    </w:pPr>
  </w:style>
  <w:style w:type="paragraph" w:styleId="4">
    <w:name w:val="Body Text Indent"/>
    <w:basedOn w:val="1"/>
    <w:next w:val="5"/>
    <w:qFormat/>
    <w:uiPriority w:val="0"/>
    <w:pPr>
      <w:ind w:firstLine="830" w:firstLineChars="352"/>
    </w:pPr>
    <w:rPr>
      <w:rFonts w:ascii="仿宋_GB2312" w:eastAsia="仿宋_GB2312"/>
      <w:kern w:val="0"/>
      <w:sz w:val="32"/>
      <w:szCs w:val="20"/>
    </w:rPr>
  </w:style>
  <w:style w:type="paragraph" w:customStyle="1" w:styleId="5">
    <w:name w:val="样式 正文文本缩进 + 首行缩进:  2 字符 行距: 1.5 倍行距"/>
    <w:basedOn w:val="4"/>
    <w:qFormat/>
    <w:uiPriority w:val="0"/>
    <w:rPr>
      <w:rFonts w:cs="宋体"/>
    </w:rPr>
  </w:style>
  <w:style w:type="paragraph" w:styleId="6">
    <w:name w:val="Plain Tex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7">
    <w:name w:val="Normal (Web)"/>
    <w:basedOn w:val="1"/>
    <w:qFormat/>
    <w:uiPriority w:val="0"/>
    <w:rPr>
      <w:sz w:val="24"/>
    </w:rPr>
  </w:style>
  <w:style w:type="paragraph" w:styleId="8">
    <w:name w:val="Body Text First Indent 2"/>
    <w:basedOn w:val="4"/>
    <w:next w:val="9"/>
    <w:qFormat/>
    <w:uiPriority w:val="0"/>
    <w:pPr>
      <w:spacing w:after="120" w:line="240" w:lineRule="auto"/>
      <w:ind w:left="420" w:leftChars="200" w:firstLine="420" w:firstLineChars="200"/>
    </w:pPr>
  </w:style>
  <w:style w:type="paragraph" w:customStyle="1" w:styleId="9">
    <w:name w:val="**正文"/>
    <w:basedOn w:val="1"/>
    <w:qFormat/>
    <w:uiPriority w:val="0"/>
    <w:pPr>
      <w:ind w:firstLine="482"/>
    </w:pPr>
    <w:rPr>
      <w:rFonts w:ascii="宋体" w:hAnsi="宋体"/>
      <w:sz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4426</Words>
  <Characters>5018</Characters>
  <Lines>0</Lines>
  <Paragraphs>0</Paragraphs>
  <TotalTime>0</TotalTime>
  <ScaleCrop>false</ScaleCrop>
  <LinksUpToDate>false</LinksUpToDate>
  <CharactersWithSpaces>5096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2024-09-25T02:22:00Z</dcterms:created>
  <dc:creator>素衣</dc:creator>
  <cp:lastModifiedBy>素衣</cp:lastModifiedBy>
  <dcterms:modified xsi:type="dcterms:W3CDTF">2024-10-23T02:04:47Z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38D4A31F652C49FD82BCF8005FCBDCD9_11</vt:lpwstr>
  </property>
</Properties>
</file>