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826DB">
      <w:pPr>
        <w:pStyle w:val="2"/>
        <w:keepNext/>
        <w:keepLines/>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恭城瑶族自治县人民医院</w:t>
      </w:r>
    </w:p>
    <w:p w14:paraId="5554F6BF">
      <w:pPr>
        <w:pStyle w:val="2"/>
        <w:keepNext/>
        <w:keepLines/>
        <w:pageBreakBefore w:val="0"/>
        <w:widowControl w:val="0"/>
        <w:kinsoku/>
        <w:wordWrap/>
        <w:overflowPunct/>
        <w:topLinePunct w:val="0"/>
        <w:autoSpaceDE/>
        <w:autoSpaceDN/>
        <w:bidi w:val="0"/>
        <w:adjustRightInd/>
        <w:snapToGrid/>
        <w:spacing w:line="460" w:lineRule="exact"/>
        <w:jc w:val="center"/>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电梯维保服务项目</w:t>
      </w:r>
      <w:bookmarkStart w:id="0" w:name="_GoBack"/>
      <w:bookmarkEnd w:id="0"/>
      <w:r>
        <w:rPr>
          <w:rFonts w:hint="eastAsia" w:ascii="宋体" w:hAnsi="宋体" w:eastAsia="宋体" w:cs="宋体"/>
          <w:color w:val="auto"/>
          <w:sz w:val="28"/>
          <w:szCs w:val="28"/>
          <w:highlight w:val="none"/>
          <w:lang w:val="en-US" w:eastAsia="zh-CN"/>
        </w:rPr>
        <w:t>需求</w:t>
      </w:r>
    </w:p>
    <w:p w14:paraId="5F7041ED">
      <w:pPr>
        <w:keepNext w:val="0"/>
        <w:keepLines w:val="0"/>
        <w:pageBreakBefore w:val="0"/>
        <w:widowControl w:val="0"/>
        <w:kinsoku/>
        <w:wordWrap/>
        <w:overflowPunct/>
        <w:topLinePunct w:val="0"/>
        <w:autoSpaceDE/>
        <w:autoSpaceDN/>
        <w:bidi w:val="0"/>
        <w:snapToGrid/>
        <w:spacing w:line="360" w:lineRule="auto"/>
        <w:ind w:left="0" w:leftChars="0" w:right="0" w:rightChars="0" w:firstLine="480" w:firstLineChars="200"/>
        <w:outlineLvl w:val="9"/>
        <w:rPr>
          <w:rFonts w:hint="default" w:asciiTheme="minorHAnsi" w:hAnsiTheme="minorHAnsi" w:eastAsiaTheme="minorEastAsia" w:cstheme="minorBidi"/>
          <w:kern w:val="2"/>
          <w:sz w:val="21"/>
          <w:szCs w:val="24"/>
          <w:lang w:val="en-US" w:eastAsia="zh-CN" w:bidi="ar-SA"/>
        </w:rPr>
      </w:pPr>
      <w:r>
        <w:rPr>
          <w:rFonts w:hint="eastAsia"/>
          <w:sz w:val="24"/>
          <w:szCs w:val="24"/>
          <w:lang w:eastAsia="zh-CN"/>
        </w:rPr>
        <w:t>一、</w:t>
      </w:r>
      <w:r>
        <w:rPr>
          <w:rFonts w:hint="eastAsia"/>
          <w:sz w:val="24"/>
          <w:szCs w:val="24"/>
          <w:lang w:val="en-US" w:eastAsia="zh-CN"/>
        </w:rPr>
        <w:t>服务范围</w:t>
      </w:r>
      <w:r>
        <w:rPr>
          <w:rFonts w:hint="eastAsia"/>
          <w:sz w:val="24"/>
          <w:szCs w:val="24"/>
          <w:lang w:eastAsia="zh-CN"/>
        </w:rPr>
        <w:t>：</w:t>
      </w:r>
      <w:r>
        <w:rPr>
          <w:rFonts w:hint="eastAsia"/>
          <w:sz w:val="24"/>
          <w:szCs w:val="24"/>
          <w:lang w:val="en-US" w:eastAsia="zh-CN"/>
        </w:rPr>
        <w:t>对</w:t>
      </w:r>
      <w:r>
        <w:rPr>
          <w:rFonts w:hint="eastAsia"/>
          <w:sz w:val="24"/>
          <w:szCs w:val="24"/>
          <w:lang w:eastAsia="zh-CN"/>
        </w:rPr>
        <w:t>恭城瑶族自治县人民医院院内</w:t>
      </w:r>
      <w:r>
        <w:rPr>
          <w:rFonts w:hint="eastAsia"/>
          <w:sz w:val="24"/>
          <w:szCs w:val="24"/>
          <w:lang w:val="en-US" w:eastAsia="zh-CN"/>
        </w:rPr>
        <w:t>8台</w:t>
      </w:r>
      <w:r>
        <w:rPr>
          <w:rFonts w:hint="eastAsia"/>
          <w:sz w:val="24"/>
          <w:szCs w:val="24"/>
          <w:lang w:eastAsia="zh-CN"/>
        </w:rPr>
        <w:t>电梯</w:t>
      </w:r>
      <w:r>
        <w:rPr>
          <w:rFonts w:hint="eastAsia"/>
          <w:sz w:val="24"/>
          <w:szCs w:val="24"/>
          <w:lang w:val="en-US" w:eastAsia="zh-CN"/>
        </w:rPr>
        <w:t>进行</w:t>
      </w:r>
      <w:r>
        <w:rPr>
          <w:rFonts w:hint="eastAsia"/>
          <w:sz w:val="24"/>
          <w:szCs w:val="24"/>
          <w:lang w:eastAsia="zh-CN"/>
        </w:rPr>
        <w:t>维护保养服务，</w:t>
      </w:r>
      <w:r>
        <w:rPr>
          <w:rFonts w:hint="eastAsia"/>
          <w:sz w:val="24"/>
          <w:szCs w:val="24"/>
          <w:lang w:val="en-US" w:eastAsia="zh-CN"/>
        </w:rPr>
        <w:t>电梯分布情况如下：</w:t>
      </w:r>
    </w:p>
    <w:tbl>
      <w:tblPr>
        <w:tblStyle w:val="10"/>
        <w:tblpPr w:leftFromText="180" w:rightFromText="180" w:vertAnchor="text" w:horzAnchor="page" w:tblpX="1192" w:tblpY="465"/>
        <w:tblOverlap w:val="never"/>
        <w:tblW w:w="9753" w:type="dxa"/>
        <w:tblInd w:w="0" w:type="dxa"/>
        <w:tblLayout w:type="fixed"/>
        <w:tblCellMar>
          <w:top w:w="0" w:type="dxa"/>
          <w:left w:w="108" w:type="dxa"/>
          <w:bottom w:w="0" w:type="dxa"/>
          <w:right w:w="108" w:type="dxa"/>
        </w:tblCellMar>
      </w:tblPr>
      <w:tblGrid>
        <w:gridCol w:w="1302"/>
        <w:gridCol w:w="962"/>
        <w:gridCol w:w="1588"/>
        <w:gridCol w:w="987"/>
        <w:gridCol w:w="763"/>
        <w:gridCol w:w="1186"/>
        <w:gridCol w:w="2965"/>
      </w:tblGrid>
      <w:tr w14:paraId="31FAE658">
        <w:tblPrEx>
          <w:tblCellMar>
            <w:top w:w="0" w:type="dxa"/>
            <w:left w:w="108" w:type="dxa"/>
            <w:bottom w:w="0" w:type="dxa"/>
            <w:right w:w="108" w:type="dxa"/>
          </w:tblCellMar>
        </w:tblPrEx>
        <w:trPr>
          <w:trHeight w:val="1001" w:hRule="atLeast"/>
        </w:trPr>
        <w:tc>
          <w:tcPr>
            <w:tcW w:w="1302" w:type="dxa"/>
            <w:tcBorders>
              <w:top w:val="single" w:color="000000" w:sz="4" w:space="0"/>
              <w:left w:val="single" w:color="000000" w:sz="4" w:space="0"/>
              <w:bottom w:val="single" w:color="000000" w:sz="4" w:space="0"/>
              <w:right w:val="single" w:color="000000" w:sz="4" w:space="0"/>
            </w:tcBorders>
            <w:noWrap w:val="0"/>
            <w:vAlign w:val="center"/>
          </w:tcPr>
          <w:p w14:paraId="1275618B">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类型</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774E788C">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品牌</w:t>
            </w:r>
          </w:p>
        </w:tc>
        <w:tc>
          <w:tcPr>
            <w:tcW w:w="1588" w:type="dxa"/>
            <w:tcBorders>
              <w:top w:val="single" w:color="000000" w:sz="4" w:space="0"/>
              <w:left w:val="single" w:color="000000" w:sz="4" w:space="0"/>
              <w:bottom w:val="single" w:color="000000" w:sz="4" w:space="0"/>
              <w:right w:val="single" w:color="000000" w:sz="4" w:space="0"/>
            </w:tcBorders>
            <w:noWrap w:val="0"/>
            <w:vAlign w:val="center"/>
          </w:tcPr>
          <w:p w14:paraId="02286903">
            <w:pPr>
              <w:keepNext w:val="0"/>
              <w:keepLines w:val="0"/>
              <w:pageBreakBefore w:val="0"/>
              <w:widowControl w:val="0"/>
              <w:kinsoku/>
              <w:wordWrap/>
              <w:overflowPunct/>
              <w:topLinePunct w:val="0"/>
              <w:autoSpaceDE/>
              <w:autoSpaceDN/>
              <w:bidi w:val="0"/>
              <w:snapToGrid/>
              <w:spacing w:line="360" w:lineRule="auto"/>
              <w:ind w:left="0" w:leftChars="0" w:right="0" w:rightChars="0" w:firstLine="480" w:firstLineChars="200"/>
              <w:outlineLvl w:val="9"/>
              <w:rPr>
                <w:rFonts w:hint="eastAsia"/>
                <w:sz w:val="24"/>
                <w:szCs w:val="24"/>
                <w:lang w:eastAsia="zh-CN"/>
              </w:rPr>
            </w:pPr>
            <w:r>
              <w:rPr>
                <w:rFonts w:hint="eastAsia"/>
                <w:sz w:val="24"/>
                <w:szCs w:val="24"/>
                <w:lang w:eastAsia="zh-CN"/>
              </w:rPr>
              <w:t>型号</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4A0527F9">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载重量kg</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14:paraId="726F8E19">
            <w:pPr>
              <w:keepNext w:val="0"/>
              <w:keepLines w:val="0"/>
              <w:pageBreakBefore w:val="0"/>
              <w:widowControl w:val="0"/>
              <w:kinsoku/>
              <w:wordWrap/>
              <w:overflowPunct/>
              <w:topLinePunct w:val="0"/>
              <w:autoSpaceDE/>
              <w:autoSpaceDN/>
              <w:bidi w:val="0"/>
              <w:snapToGrid/>
              <w:spacing w:line="360" w:lineRule="auto"/>
              <w:ind w:right="0" w:rightChars="0"/>
              <w:jc w:val="center"/>
              <w:outlineLvl w:val="9"/>
              <w:rPr>
                <w:rFonts w:hint="eastAsia"/>
                <w:sz w:val="24"/>
                <w:szCs w:val="24"/>
                <w:lang w:eastAsia="zh-CN"/>
              </w:rPr>
            </w:pPr>
            <w:r>
              <w:rPr>
                <w:rFonts w:hint="eastAsia"/>
                <w:sz w:val="24"/>
                <w:szCs w:val="24"/>
                <w:lang w:eastAsia="zh-CN"/>
              </w:rPr>
              <w:t>数量</w:t>
            </w:r>
          </w:p>
        </w:tc>
        <w:tc>
          <w:tcPr>
            <w:tcW w:w="1186" w:type="dxa"/>
            <w:tcBorders>
              <w:top w:val="single" w:color="000000" w:sz="4" w:space="0"/>
              <w:left w:val="single" w:color="000000" w:sz="4" w:space="0"/>
              <w:bottom w:val="single" w:color="000000" w:sz="4" w:space="0"/>
              <w:right w:val="single" w:color="000000" w:sz="4" w:space="0"/>
            </w:tcBorders>
            <w:noWrap w:val="0"/>
            <w:vAlign w:val="center"/>
          </w:tcPr>
          <w:p w14:paraId="1672891B">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层/站/门</w:t>
            </w:r>
          </w:p>
        </w:tc>
        <w:tc>
          <w:tcPr>
            <w:tcW w:w="2965" w:type="dxa"/>
            <w:tcBorders>
              <w:top w:val="single" w:color="000000" w:sz="4" w:space="0"/>
              <w:left w:val="single" w:color="000000" w:sz="4" w:space="0"/>
              <w:bottom w:val="single" w:color="000000" w:sz="4" w:space="0"/>
              <w:right w:val="single" w:color="000000" w:sz="4" w:space="0"/>
            </w:tcBorders>
            <w:noWrap w:val="0"/>
            <w:vAlign w:val="center"/>
          </w:tcPr>
          <w:p w14:paraId="566AFD3D">
            <w:pPr>
              <w:keepNext w:val="0"/>
              <w:keepLines w:val="0"/>
              <w:pageBreakBefore w:val="0"/>
              <w:widowControl w:val="0"/>
              <w:kinsoku/>
              <w:wordWrap/>
              <w:overflowPunct/>
              <w:topLinePunct w:val="0"/>
              <w:autoSpaceDE/>
              <w:autoSpaceDN/>
              <w:bidi w:val="0"/>
              <w:snapToGrid/>
              <w:spacing w:line="360" w:lineRule="auto"/>
              <w:ind w:left="0" w:leftChars="0" w:right="0" w:rightChars="0" w:firstLine="480" w:firstLineChars="200"/>
              <w:outlineLvl w:val="9"/>
              <w:rPr>
                <w:rFonts w:hint="eastAsia"/>
                <w:sz w:val="24"/>
                <w:szCs w:val="24"/>
                <w:lang w:eastAsia="zh-CN"/>
              </w:rPr>
            </w:pPr>
            <w:r>
              <w:rPr>
                <w:rFonts w:hint="eastAsia"/>
                <w:sz w:val="24"/>
                <w:szCs w:val="24"/>
                <w:lang w:eastAsia="zh-CN"/>
              </w:rPr>
              <w:t>设备使用地址</w:t>
            </w:r>
          </w:p>
        </w:tc>
      </w:tr>
      <w:tr w14:paraId="48C52EDE">
        <w:tblPrEx>
          <w:tblCellMar>
            <w:top w:w="0" w:type="dxa"/>
            <w:left w:w="108" w:type="dxa"/>
            <w:bottom w:w="0" w:type="dxa"/>
            <w:right w:w="108" w:type="dxa"/>
          </w:tblCellMar>
        </w:tblPrEx>
        <w:trPr>
          <w:trHeight w:val="1331" w:hRule="atLeast"/>
        </w:trPr>
        <w:tc>
          <w:tcPr>
            <w:tcW w:w="1302" w:type="dxa"/>
            <w:tcBorders>
              <w:top w:val="single" w:color="000000" w:sz="4" w:space="0"/>
              <w:left w:val="single" w:color="000000" w:sz="4" w:space="0"/>
              <w:bottom w:val="single" w:color="000000" w:sz="4" w:space="0"/>
              <w:right w:val="single" w:color="000000" w:sz="4" w:space="0"/>
            </w:tcBorders>
            <w:noWrap w:val="0"/>
            <w:vAlign w:val="center"/>
          </w:tcPr>
          <w:p w14:paraId="28D8E5CE">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乘客电梯</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6CC9E07D">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沃克斯</w:t>
            </w:r>
          </w:p>
        </w:tc>
        <w:tc>
          <w:tcPr>
            <w:tcW w:w="1588" w:type="dxa"/>
            <w:tcBorders>
              <w:top w:val="single" w:color="000000" w:sz="4" w:space="0"/>
              <w:left w:val="single" w:color="000000" w:sz="4" w:space="0"/>
              <w:bottom w:val="single" w:color="000000" w:sz="4" w:space="0"/>
              <w:right w:val="single" w:color="000000" w:sz="4" w:space="0"/>
            </w:tcBorders>
            <w:noWrap w:val="0"/>
            <w:vAlign w:val="center"/>
          </w:tcPr>
          <w:p w14:paraId="5D62C57B">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VB1600/1.0-VVVF</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35C3C66C">
            <w:pPr>
              <w:keepNext w:val="0"/>
              <w:keepLines w:val="0"/>
              <w:pageBreakBefore w:val="0"/>
              <w:widowControl w:val="0"/>
              <w:kinsoku/>
              <w:wordWrap/>
              <w:overflowPunct/>
              <w:topLinePunct w:val="0"/>
              <w:autoSpaceDE/>
              <w:autoSpaceDN/>
              <w:bidi w:val="0"/>
              <w:snapToGrid/>
              <w:spacing w:line="360" w:lineRule="auto"/>
              <w:ind w:right="0" w:rightChars="0"/>
              <w:jc w:val="left"/>
              <w:outlineLvl w:val="9"/>
              <w:rPr>
                <w:rFonts w:hint="eastAsia"/>
                <w:sz w:val="24"/>
                <w:szCs w:val="24"/>
                <w:lang w:val="en-US" w:eastAsia="zh-CN"/>
              </w:rPr>
            </w:pPr>
            <w:r>
              <w:rPr>
                <w:rFonts w:hint="eastAsia"/>
                <w:sz w:val="24"/>
                <w:szCs w:val="24"/>
                <w:lang w:val="en-US" w:eastAsia="zh-CN"/>
              </w:rPr>
              <w:t>1600</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14:paraId="764AB72F">
            <w:pPr>
              <w:keepNext w:val="0"/>
              <w:keepLines w:val="0"/>
              <w:pageBreakBefore w:val="0"/>
              <w:widowControl w:val="0"/>
              <w:kinsoku/>
              <w:wordWrap/>
              <w:overflowPunct/>
              <w:topLinePunct w:val="0"/>
              <w:autoSpaceDE/>
              <w:autoSpaceDN/>
              <w:bidi w:val="0"/>
              <w:snapToGrid/>
              <w:spacing w:line="360" w:lineRule="auto"/>
              <w:ind w:right="0" w:rightChars="0"/>
              <w:jc w:val="both"/>
              <w:outlineLvl w:val="9"/>
              <w:rPr>
                <w:rFonts w:hint="eastAsia"/>
                <w:sz w:val="24"/>
                <w:szCs w:val="24"/>
                <w:lang w:val="en-US" w:eastAsia="zh-CN"/>
              </w:rPr>
            </w:pPr>
            <w:r>
              <w:rPr>
                <w:rFonts w:hint="eastAsia"/>
                <w:sz w:val="24"/>
                <w:szCs w:val="24"/>
                <w:lang w:val="en-US" w:eastAsia="zh-CN"/>
              </w:rPr>
              <w:t>1</w:t>
            </w:r>
          </w:p>
        </w:tc>
        <w:tc>
          <w:tcPr>
            <w:tcW w:w="1186" w:type="dxa"/>
            <w:tcBorders>
              <w:top w:val="single" w:color="000000" w:sz="4" w:space="0"/>
              <w:left w:val="single" w:color="000000" w:sz="4" w:space="0"/>
              <w:bottom w:val="single" w:color="000000" w:sz="4" w:space="0"/>
              <w:right w:val="single" w:color="000000" w:sz="4" w:space="0"/>
            </w:tcBorders>
            <w:noWrap w:val="0"/>
            <w:vAlign w:val="center"/>
          </w:tcPr>
          <w:p w14:paraId="30BCE232">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6</w:t>
            </w:r>
            <w:r>
              <w:rPr>
                <w:rFonts w:hint="eastAsia"/>
                <w:sz w:val="24"/>
                <w:szCs w:val="24"/>
                <w:lang w:eastAsia="zh-CN"/>
              </w:rPr>
              <w:t>/</w:t>
            </w:r>
            <w:r>
              <w:rPr>
                <w:rFonts w:hint="eastAsia"/>
                <w:sz w:val="24"/>
                <w:szCs w:val="24"/>
                <w:lang w:val="en-US" w:eastAsia="zh-CN"/>
              </w:rPr>
              <w:t>6</w:t>
            </w:r>
            <w:r>
              <w:rPr>
                <w:rFonts w:hint="eastAsia"/>
                <w:sz w:val="24"/>
                <w:szCs w:val="24"/>
                <w:lang w:eastAsia="zh-CN"/>
              </w:rPr>
              <w:t>/</w:t>
            </w:r>
            <w:r>
              <w:rPr>
                <w:rFonts w:hint="eastAsia"/>
                <w:sz w:val="24"/>
                <w:szCs w:val="24"/>
                <w:lang w:val="en-US" w:eastAsia="zh-CN"/>
              </w:rPr>
              <w:t>6</w:t>
            </w:r>
          </w:p>
        </w:tc>
        <w:tc>
          <w:tcPr>
            <w:tcW w:w="2965" w:type="dxa"/>
            <w:tcBorders>
              <w:top w:val="single" w:color="000000" w:sz="4" w:space="0"/>
              <w:left w:val="single" w:color="000000" w:sz="4" w:space="0"/>
              <w:bottom w:val="single" w:color="000000" w:sz="4" w:space="0"/>
              <w:right w:val="single" w:color="000000" w:sz="4" w:space="0"/>
            </w:tcBorders>
            <w:noWrap w:val="0"/>
            <w:vAlign w:val="center"/>
          </w:tcPr>
          <w:p w14:paraId="4680F82B">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恭城瑶族自治县恭城镇兴隆街108号人民医院3号楼左梯</w:t>
            </w:r>
          </w:p>
        </w:tc>
      </w:tr>
      <w:tr w14:paraId="58F84506">
        <w:tblPrEx>
          <w:tblCellMar>
            <w:top w:w="0" w:type="dxa"/>
            <w:left w:w="108" w:type="dxa"/>
            <w:bottom w:w="0" w:type="dxa"/>
            <w:right w:w="108" w:type="dxa"/>
          </w:tblCellMar>
        </w:tblPrEx>
        <w:trPr>
          <w:trHeight w:val="1331" w:hRule="atLeast"/>
        </w:trPr>
        <w:tc>
          <w:tcPr>
            <w:tcW w:w="1302" w:type="dxa"/>
            <w:tcBorders>
              <w:top w:val="single" w:color="000000" w:sz="4" w:space="0"/>
              <w:left w:val="single" w:color="000000" w:sz="4" w:space="0"/>
              <w:bottom w:val="single" w:color="000000" w:sz="4" w:space="0"/>
              <w:right w:val="single" w:color="000000" w:sz="4" w:space="0"/>
            </w:tcBorders>
            <w:noWrap w:val="0"/>
            <w:vAlign w:val="center"/>
          </w:tcPr>
          <w:p w14:paraId="20CD69D2">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乘客电梯</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3CB98673">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沃克斯</w:t>
            </w:r>
          </w:p>
        </w:tc>
        <w:tc>
          <w:tcPr>
            <w:tcW w:w="1588" w:type="dxa"/>
            <w:tcBorders>
              <w:top w:val="single" w:color="000000" w:sz="4" w:space="0"/>
              <w:left w:val="single" w:color="000000" w:sz="4" w:space="0"/>
              <w:bottom w:val="single" w:color="000000" w:sz="4" w:space="0"/>
              <w:right w:val="single" w:color="000000" w:sz="4" w:space="0"/>
            </w:tcBorders>
            <w:noWrap w:val="0"/>
            <w:vAlign w:val="center"/>
          </w:tcPr>
          <w:p w14:paraId="658D5B7B">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VB1600/1.0-VVVF</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14B35FD0">
            <w:pPr>
              <w:keepNext w:val="0"/>
              <w:keepLines w:val="0"/>
              <w:pageBreakBefore w:val="0"/>
              <w:widowControl w:val="0"/>
              <w:kinsoku/>
              <w:wordWrap/>
              <w:overflowPunct/>
              <w:topLinePunct w:val="0"/>
              <w:autoSpaceDE/>
              <w:autoSpaceDN/>
              <w:bidi w:val="0"/>
              <w:snapToGrid/>
              <w:spacing w:line="360" w:lineRule="auto"/>
              <w:ind w:right="0" w:rightChars="0"/>
              <w:jc w:val="left"/>
              <w:outlineLvl w:val="9"/>
              <w:rPr>
                <w:rFonts w:hint="eastAsia"/>
                <w:sz w:val="24"/>
                <w:szCs w:val="24"/>
                <w:lang w:val="en-US" w:eastAsia="zh-CN"/>
              </w:rPr>
            </w:pPr>
            <w:r>
              <w:rPr>
                <w:rFonts w:hint="eastAsia"/>
                <w:sz w:val="24"/>
                <w:szCs w:val="24"/>
                <w:lang w:val="en-US" w:eastAsia="zh-CN"/>
              </w:rPr>
              <w:t>1600</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14:paraId="0D3CC334">
            <w:pPr>
              <w:keepNext w:val="0"/>
              <w:keepLines w:val="0"/>
              <w:pageBreakBefore w:val="0"/>
              <w:widowControl w:val="0"/>
              <w:kinsoku/>
              <w:wordWrap/>
              <w:overflowPunct/>
              <w:topLinePunct w:val="0"/>
              <w:autoSpaceDE/>
              <w:autoSpaceDN/>
              <w:bidi w:val="0"/>
              <w:snapToGrid/>
              <w:spacing w:line="360" w:lineRule="auto"/>
              <w:ind w:right="0" w:rightChars="0"/>
              <w:jc w:val="both"/>
              <w:outlineLvl w:val="9"/>
              <w:rPr>
                <w:rFonts w:hint="eastAsia"/>
                <w:sz w:val="24"/>
                <w:szCs w:val="24"/>
                <w:lang w:val="en-US" w:eastAsia="zh-CN"/>
              </w:rPr>
            </w:pPr>
            <w:r>
              <w:rPr>
                <w:rFonts w:hint="eastAsia"/>
                <w:sz w:val="24"/>
                <w:szCs w:val="24"/>
                <w:lang w:val="en-US" w:eastAsia="zh-CN"/>
              </w:rPr>
              <w:t>1</w:t>
            </w:r>
          </w:p>
        </w:tc>
        <w:tc>
          <w:tcPr>
            <w:tcW w:w="1186" w:type="dxa"/>
            <w:tcBorders>
              <w:top w:val="single" w:color="000000" w:sz="4" w:space="0"/>
              <w:left w:val="single" w:color="000000" w:sz="4" w:space="0"/>
              <w:bottom w:val="single" w:color="000000" w:sz="4" w:space="0"/>
              <w:right w:val="single" w:color="000000" w:sz="4" w:space="0"/>
            </w:tcBorders>
            <w:noWrap w:val="0"/>
            <w:vAlign w:val="center"/>
          </w:tcPr>
          <w:p w14:paraId="4C1FF341">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5</w:t>
            </w:r>
            <w:r>
              <w:rPr>
                <w:rFonts w:hint="eastAsia"/>
                <w:sz w:val="24"/>
                <w:szCs w:val="24"/>
                <w:lang w:eastAsia="zh-CN"/>
              </w:rPr>
              <w:t>/</w:t>
            </w:r>
            <w:r>
              <w:rPr>
                <w:rFonts w:hint="eastAsia"/>
                <w:sz w:val="24"/>
                <w:szCs w:val="24"/>
                <w:lang w:val="en-US" w:eastAsia="zh-CN"/>
              </w:rPr>
              <w:t>5</w:t>
            </w:r>
            <w:r>
              <w:rPr>
                <w:rFonts w:hint="eastAsia"/>
                <w:sz w:val="24"/>
                <w:szCs w:val="24"/>
                <w:lang w:eastAsia="zh-CN"/>
              </w:rPr>
              <w:t>/</w:t>
            </w:r>
            <w:r>
              <w:rPr>
                <w:rFonts w:hint="eastAsia"/>
                <w:sz w:val="24"/>
                <w:szCs w:val="24"/>
                <w:lang w:val="en-US" w:eastAsia="zh-CN"/>
              </w:rPr>
              <w:t>5</w:t>
            </w:r>
          </w:p>
        </w:tc>
        <w:tc>
          <w:tcPr>
            <w:tcW w:w="2965" w:type="dxa"/>
            <w:tcBorders>
              <w:top w:val="single" w:color="000000" w:sz="4" w:space="0"/>
              <w:left w:val="single" w:color="000000" w:sz="4" w:space="0"/>
              <w:bottom w:val="single" w:color="000000" w:sz="4" w:space="0"/>
              <w:right w:val="single" w:color="000000" w:sz="4" w:space="0"/>
            </w:tcBorders>
            <w:noWrap w:val="0"/>
            <w:vAlign w:val="center"/>
          </w:tcPr>
          <w:p w14:paraId="2F3AF731">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恭城瑶族自治县恭城镇兴隆街108号人民医院门诊楼</w:t>
            </w:r>
          </w:p>
        </w:tc>
      </w:tr>
      <w:tr w14:paraId="10BC722A">
        <w:tblPrEx>
          <w:tblCellMar>
            <w:top w:w="0" w:type="dxa"/>
            <w:left w:w="108" w:type="dxa"/>
            <w:bottom w:w="0" w:type="dxa"/>
            <w:right w:w="108" w:type="dxa"/>
          </w:tblCellMar>
        </w:tblPrEx>
        <w:trPr>
          <w:trHeight w:val="1331" w:hRule="atLeast"/>
        </w:trPr>
        <w:tc>
          <w:tcPr>
            <w:tcW w:w="1302" w:type="dxa"/>
            <w:tcBorders>
              <w:top w:val="single" w:color="000000" w:sz="4" w:space="0"/>
              <w:left w:val="single" w:color="000000" w:sz="4" w:space="0"/>
              <w:bottom w:val="single" w:color="000000" w:sz="4" w:space="0"/>
              <w:right w:val="single" w:color="000000" w:sz="4" w:space="0"/>
            </w:tcBorders>
            <w:noWrap w:val="0"/>
            <w:vAlign w:val="center"/>
          </w:tcPr>
          <w:p w14:paraId="7719C104">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乘客电梯</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2CA81F64">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西奥</w:t>
            </w:r>
          </w:p>
        </w:tc>
        <w:tc>
          <w:tcPr>
            <w:tcW w:w="1588" w:type="dxa"/>
            <w:tcBorders>
              <w:top w:val="single" w:color="000000" w:sz="4" w:space="0"/>
              <w:left w:val="single" w:color="000000" w:sz="4" w:space="0"/>
              <w:bottom w:val="single" w:color="000000" w:sz="4" w:space="0"/>
              <w:right w:val="single" w:color="000000" w:sz="4" w:space="0"/>
            </w:tcBorders>
            <w:noWrap w:val="0"/>
            <w:vAlign w:val="center"/>
          </w:tcPr>
          <w:p w14:paraId="6B181C82">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XO-CONB</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2EB2B84C">
            <w:pPr>
              <w:keepNext w:val="0"/>
              <w:keepLines w:val="0"/>
              <w:pageBreakBefore w:val="0"/>
              <w:widowControl w:val="0"/>
              <w:kinsoku/>
              <w:wordWrap/>
              <w:overflowPunct/>
              <w:topLinePunct w:val="0"/>
              <w:autoSpaceDE/>
              <w:autoSpaceDN/>
              <w:bidi w:val="0"/>
              <w:snapToGrid/>
              <w:spacing w:line="360" w:lineRule="auto"/>
              <w:ind w:right="0" w:rightChars="0"/>
              <w:jc w:val="left"/>
              <w:outlineLvl w:val="9"/>
              <w:rPr>
                <w:rFonts w:hint="eastAsia"/>
                <w:sz w:val="24"/>
                <w:szCs w:val="24"/>
                <w:lang w:val="en-US" w:eastAsia="zh-CN"/>
              </w:rPr>
            </w:pPr>
            <w:r>
              <w:rPr>
                <w:rFonts w:hint="eastAsia"/>
                <w:sz w:val="24"/>
                <w:szCs w:val="24"/>
                <w:lang w:val="en-US" w:eastAsia="zh-CN"/>
              </w:rPr>
              <w:t>1600</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14:paraId="788A3AF1">
            <w:pPr>
              <w:keepNext w:val="0"/>
              <w:keepLines w:val="0"/>
              <w:pageBreakBefore w:val="0"/>
              <w:widowControl w:val="0"/>
              <w:kinsoku/>
              <w:wordWrap/>
              <w:overflowPunct/>
              <w:topLinePunct w:val="0"/>
              <w:autoSpaceDE/>
              <w:autoSpaceDN/>
              <w:bidi w:val="0"/>
              <w:snapToGrid/>
              <w:spacing w:line="360" w:lineRule="auto"/>
              <w:ind w:right="0" w:rightChars="0"/>
              <w:jc w:val="both"/>
              <w:outlineLvl w:val="9"/>
              <w:rPr>
                <w:rFonts w:hint="eastAsia"/>
                <w:sz w:val="24"/>
                <w:szCs w:val="24"/>
                <w:lang w:eastAsia="zh-CN"/>
              </w:rPr>
            </w:pPr>
            <w:r>
              <w:rPr>
                <w:rFonts w:hint="eastAsia"/>
                <w:sz w:val="24"/>
                <w:szCs w:val="24"/>
                <w:lang w:eastAsia="zh-CN"/>
              </w:rPr>
              <w:t>1</w:t>
            </w:r>
          </w:p>
        </w:tc>
        <w:tc>
          <w:tcPr>
            <w:tcW w:w="1186" w:type="dxa"/>
            <w:tcBorders>
              <w:top w:val="single" w:color="000000" w:sz="4" w:space="0"/>
              <w:left w:val="single" w:color="000000" w:sz="4" w:space="0"/>
              <w:bottom w:val="single" w:color="000000" w:sz="4" w:space="0"/>
              <w:right w:val="single" w:color="000000" w:sz="4" w:space="0"/>
            </w:tcBorders>
            <w:noWrap w:val="0"/>
            <w:vAlign w:val="center"/>
          </w:tcPr>
          <w:p w14:paraId="0D31C218">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6</w:t>
            </w:r>
            <w:r>
              <w:rPr>
                <w:rFonts w:hint="eastAsia"/>
                <w:sz w:val="24"/>
                <w:szCs w:val="24"/>
                <w:lang w:eastAsia="zh-CN"/>
              </w:rPr>
              <w:t>/</w:t>
            </w:r>
            <w:r>
              <w:rPr>
                <w:rFonts w:hint="eastAsia"/>
                <w:sz w:val="24"/>
                <w:szCs w:val="24"/>
                <w:lang w:val="en-US" w:eastAsia="zh-CN"/>
              </w:rPr>
              <w:t>6</w:t>
            </w:r>
            <w:r>
              <w:rPr>
                <w:rFonts w:hint="eastAsia"/>
                <w:sz w:val="24"/>
                <w:szCs w:val="24"/>
                <w:lang w:eastAsia="zh-CN"/>
              </w:rPr>
              <w:t>/</w:t>
            </w:r>
            <w:r>
              <w:rPr>
                <w:rFonts w:hint="eastAsia"/>
                <w:sz w:val="24"/>
                <w:szCs w:val="24"/>
                <w:lang w:val="en-US" w:eastAsia="zh-CN"/>
              </w:rPr>
              <w:t>6</w:t>
            </w:r>
          </w:p>
        </w:tc>
        <w:tc>
          <w:tcPr>
            <w:tcW w:w="2965" w:type="dxa"/>
            <w:tcBorders>
              <w:top w:val="single" w:color="000000" w:sz="4" w:space="0"/>
              <w:left w:val="single" w:color="000000" w:sz="4" w:space="0"/>
              <w:bottom w:val="single" w:color="000000" w:sz="4" w:space="0"/>
              <w:right w:val="single" w:color="000000" w:sz="4" w:space="0"/>
            </w:tcBorders>
            <w:noWrap w:val="0"/>
            <w:vAlign w:val="center"/>
          </w:tcPr>
          <w:p w14:paraId="36B7B18E">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val="en-US" w:eastAsia="zh-CN"/>
              </w:rPr>
              <w:t>恭城瑶族自治县恭城镇兴隆街108号人民医院传染病房</w:t>
            </w:r>
          </w:p>
        </w:tc>
      </w:tr>
      <w:tr w14:paraId="17B4C3F5">
        <w:tblPrEx>
          <w:tblCellMar>
            <w:top w:w="0" w:type="dxa"/>
            <w:left w:w="108" w:type="dxa"/>
            <w:bottom w:w="0" w:type="dxa"/>
            <w:right w:w="108" w:type="dxa"/>
          </w:tblCellMar>
        </w:tblPrEx>
        <w:trPr>
          <w:trHeight w:val="1100" w:hRule="atLeast"/>
        </w:trPr>
        <w:tc>
          <w:tcPr>
            <w:tcW w:w="1302" w:type="dxa"/>
            <w:tcBorders>
              <w:top w:val="single" w:color="000000" w:sz="4" w:space="0"/>
              <w:left w:val="single" w:color="000000" w:sz="4" w:space="0"/>
              <w:bottom w:val="single" w:color="auto" w:sz="4" w:space="0"/>
              <w:right w:val="single" w:color="000000" w:sz="4" w:space="0"/>
            </w:tcBorders>
            <w:noWrap w:val="0"/>
            <w:vAlign w:val="center"/>
          </w:tcPr>
          <w:p w14:paraId="31DF57FE">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乘客电梯</w:t>
            </w:r>
          </w:p>
        </w:tc>
        <w:tc>
          <w:tcPr>
            <w:tcW w:w="962" w:type="dxa"/>
            <w:tcBorders>
              <w:left w:val="single" w:color="000000" w:sz="4" w:space="0"/>
              <w:bottom w:val="single" w:color="auto" w:sz="4" w:space="0"/>
              <w:right w:val="single" w:color="000000" w:sz="4" w:space="0"/>
            </w:tcBorders>
            <w:noWrap w:val="0"/>
            <w:vAlign w:val="center"/>
          </w:tcPr>
          <w:p w14:paraId="07CF1657">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西奥</w:t>
            </w:r>
          </w:p>
        </w:tc>
        <w:tc>
          <w:tcPr>
            <w:tcW w:w="1588" w:type="dxa"/>
            <w:tcBorders>
              <w:top w:val="single" w:color="000000" w:sz="4" w:space="0"/>
              <w:left w:val="single" w:color="000000" w:sz="4" w:space="0"/>
              <w:bottom w:val="single" w:color="auto" w:sz="4" w:space="0"/>
              <w:right w:val="single" w:color="000000" w:sz="4" w:space="0"/>
            </w:tcBorders>
            <w:noWrap w:val="0"/>
            <w:vAlign w:val="center"/>
          </w:tcPr>
          <w:p w14:paraId="65C45D8C">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XO-CONB</w:t>
            </w:r>
          </w:p>
        </w:tc>
        <w:tc>
          <w:tcPr>
            <w:tcW w:w="987" w:type="dxa"/>
            <w:tcBorders>
              <w:top w:val="single" w:color="000000" w:sz="4" w:space="0"/>
              <w:left w:val="single" w:color="000000" w:sz="4" w:space="0"/>
              <w:bottom w:val="single" w:color="auto" w:sz="4" w:space="0"/>
              <w:right w:val="single" w:color="000000" w:sz="4" w:space="0"/>
            </w:tcBorders>
            <w:noWrap w:val="0"/>
            <w:vAlign w:val="center"/>
          </w:tcPr>
          <w:p w14:paraId="572F7D7B">
            <w:pPr>
              <w:keepNext w:val="0"/>
              <w:keepLines w:val="0"/>
              <w:pageBreakBefore w:val="0"/>
              <w:widowControl w:val="0"/>
              <w:kinsoku/>
              <w:wordWrap/>
              <w:overflowPunct/>
              <w:topLinePunct w:val="0"/>
              <w:autoSpaceDE/>
              <w:autoSpaceDN/>
              <w:bidi w:val="0"/>
              <w:snapToGrid/>
              <w:spacing w:line="360" w:lineRule="auto"/>
              <w:ind w:right="0" w:rightChars="0"/>
              <w:jc w:val="left"/>
              <w:outlineLvl w:val="9"/>
              <w:rPr>
                <w:rFonts w:hint="eastAsia"/>
                <w:sz w:val="24"/>
                <w:szCs w:val="24"/>
                <w:lang w:val="en-US" w:eastAsia="zh-CN"/>
              </w:rPr>
            </w:pPr>
            <w:r>
              <w:rPr>
                <w:rFonts w:hint="eastAsia"/>
                <w:sz w:val="24"/>
                <w:szCs w:val="24"/>
                <w:lang w:val="en-US" w:eastAsia="zh-CN"/>
              </w:rPr>
              <w:t>1600</w:t>
            </w:r>
          </w:p>
        </w:tc>
        <w:tc>
          <w:tcPr>
            <w:tcW w:w="763" w:type="dxa"/>
            <w:tcBorders>
              <w:top w:val="single" w:color="000000" w:sz="4" w:space="0"/>
              <w:left w:val="single" w:color="000000" w:sz="4" w:space="0"/>
              <w:bottom w:val="single" w:color="auto" w:sz="4" w:space="0"/>
              <w:right w:val="single" w:color="000000" w:sz="4" w:space="0"/>
            </w:tcBorders>
            <w:noWrap w:val="0"/>
            <w:vAlign w:val="center"/>
          </w:tcPr>
          <w:p w14:paraId="434BD1B1">
            <w:pPr>
              <w:keepNext w:val="0"/>
              <w:keepLines w:val="0"/>
              <w:pageBreakBefore w:val="0"/>
              <w:widowControl w:val="0"/>
              <w:kinsoku/>
              <w:wordWrap/>
              <w:overflowPunct/>
              <w:topLinePunct w:val="0"/>
              <w:autoSpaceDE/>
              <w:autoSpaceDN/>
              <w:bidi w:val="0"/>
              <w:snapToGrid/>
              <w:spacing w:line="360" w:lineRule="auto"/>
              <w:ind w:right="0" w:rightChars="0"/>
              <w:jc w:val="both"/>
              <w:outlineLvl w:val="9"/>
              <w:rPr>
                <w:rFonts w:hint="eastAsia"/>
                <w:sz w:val="24"/>
                <w:szCs w:val="24"/>
                <w:lang w:eastAsia="zh-CN"/>
              </w:rPr>
            </w:pPr>
            <w:r>
              <w:rPr>
                <w:rFonts w:hint="eastAsia"/>
                <w:sz w:val="24"/>
                <w:szCs w:val="24"/>
                <w:lang w:eastAsia="zh-CN"/>
              </w:rPr>
              <w:t>1</w:t>
            </w:r>
          </w:p>
        </w:tc>
        <w:tc>
          <w:tcPr>
            <w:tcW w:w="1186" w:type="dxa"/>
            <w:tcBorders>
              <w:top w:val="single" w:color="000000" w:sz="4" w:space="0"/>
              <w:left w:val="single" w:color="000000" w:sz="4" w:space="0"/>
              <w:bottom w:val="single" w:color="auto" w:sz="4" w:space="0"/>
              <w:right w:val="single" w:color="000000" w:sz="4" w:space="0"/>
            </w:tcBorders>
            <w:noWrap w:val="0"/>
            <w:vAlign w:val="center"/>
          </w:tcPr>
          <w:p w14:paraId="246EC03D">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6</w:t>
            </w:r>
            <w:r>
              <w:rPr>
                <w:rFonts w:hint="eastAsia"/>
                <w:sz w:val="24"/>
                <w:szCs w:val="24"/>
                <w:lang w:eastAsia="zh-CN"/>
              </w:rPr>
              <w:t>/</w:t>
            </w:r>
            <w:r>
              <w:rPr>
                <w:rFonts w:hint="eastAsia"/>
                <w:sz w:val="24"/>
                <w:szCs w:val="24"/>
                <w:lang w:val="en-US" w:eastAsia="zh-CN"/>
              </w:rPr>
              <w:t>6</w:t>
            </w:r>
            <w:r>
              <w:rPr>
                <w:rFonts w:hint="eastAsia"/>
                <w:sz w:val="24"/>
                <w:szCs w:val="24"/>
                <w:lang w:eastAsia="zh-CN"/>
              </w:rPr>
              <w:t>/</w:t>
            </w:r>
            <w:r>
              <w:rPr>
                <w:rFonts w:hint="eastAsia"/>
                <w:sz w:val="24"/>
                <w:szCs w:val="24"/>
                <w:lang w:val="en-US" w:eastAsia="zh-CN"/>
              </w:rPr>
              <w:t>6</w:t>
            </w:r>
          </w:p>
        </w:tc>
        <w:tc>
          <w:tcPr>
            <w:tcW w:w="2965" w:type="dxa"/>
            <w:tcBorders>
              <w:top w:val="single" w:color="000000" w:sz="4" w:space="0"/>
              <w:left w:val="single" w:color="000000" w:sz="4" w:space="0"/>
              <w:bottom w:val="single" w:color="auto" w:sz="4" w:space="0"/>
              <w:right w:val="single" w:color="000000" w:sz="4" w:space="0"/>
            </w:tcBorders>
            <w:noWrap w:val="0"/>
            <w:vAlign w:val="center"/>
          </w:tcPr>
          <w:p w14:paraId="036CFA36">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恭城瑶族自治县恭城镇兴隆街108号人民医院传染病房</w:t>
            </w:r>
          </w:p>
        </w:tc>
      </w:tr>
      <w:tr w14:paraId="1DD251B4">
        <w:tblPrEx>
          <w:tblCellMar>
            <w:top w:w="0" w:type="dxa"/>
            <w:left w:w="108" w:type="dxa"/>
            <w:bottom w:w="0" w:type="dxa"/>
            <w:right w:w="108" w:type="dxa"/>
          </w:tblCellMar>
        </w:tblPrEx>
        <w:trPr>
          <w:trHeight w:val="1100" w:hRule="atLeast"/>
        </w:trPr>
        <w:tc>
          <w:tcPr>
            <w:tcW w:w="1302" w:type="dxa"/>
            <w:tcBorders>
              <w:top w:val="single" w:color="auto" w:sz="4" w:space="0"/>
              <w:left w:val="single" w:color="auto" w:sz="4" w:space="0"/>
              <w:bottom w:val="single" w:color="auto" w:sz="4" w:space="0"/>
              <w:right w:val="single" w:color="auto" w:sz="4" w:space="0"/>
            </w:tcBorders>
            <w:noWrap w:val="0"/>
            <w:vAlign w:val="center"/>
          </w:tcPr>
          <w:p w14:paraId="0C60CFAE">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乘客电梯</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14168A24">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开灵</w:t>
            </w:r>
          </w:p>
        </w:tc>
        <w:tc>
          <w:tcPr>
            <w:tcW w:w="1588" w:type="dxa"/>
            <w:tcBorders>
              <w:top w:val="single" w:color="auto" w:sz="4" w:space="0"/>
              <w:left w:val="single" w:color="auto" w:sz="4" w:space="0"/>
              <w:bottom w:val="single" w:color="auto" w:sz="4" w:space="0"/>
              <w:right w:val="single" w:color="auto" w:sz="4" w:space="0"/>
            </w:tcBorders>
            <w:noWrap w:val="0"/>
            <w:vAlign w:val="center"/>
          </w:tcPr>
          <w:p w14:paraId="06489C49">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TBJ1600/1.0-JXW-VVVF</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2823E907">
            <w:pPr>
              <w:keepNext w:val="0"/>
              <w:keepLines w:val="0"/>
              <w:pageBreakBefore w:val="0"/>
              <w:widowControl w:val="0"/>
              <w:kinsoku/>
              <w:wordWrap/>
              <w:overflowPunct/>
              <w:topLinePunct w:val="0"/>
              <w:autoSpaceDE/>
              <w:autoSpaceDN/>
              <w:bidi w:val="0"/>
              <w:snapToGrid/>
              <w:spacing w:line="360" w:lineRule="auto"/>
              <w:ind w:right="0" w:rightChars="0"/>
              <w:jc w:val="left"/>
              <w:outlineLvl w:val="9"/>
              <w:rPr>
                <w:rFonts w:hint="eastAsia"/>
                <w:sz w:val="24"/>
                <w:szCs w:val="24"/>
                <w:lang w:val="en-US" w:eastAsia="zh-CN"/>
              </w:rPr>
            </w:pPr>
            <w:r>
              <w:rPr>
                <w:rFonts w:hint="eastAsia"/>
                <w:sz w:val="24"/>
                <w:szCs w:val="24"/>
                <w:lang w:val="en-US" w:eastAsia="zh-CN"/>
              </w:rPr>
              <w:t>1600</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66BDA9A1">
            <w:pPr>
              <w:keepNext w:val="0"/>
              <w:keepLines w:val="0"/>
              <w:pageBreakBefore w:val="0"/>
              <w:widowControl w:val="0"/>
              <w:kinsoku/>
              <w:wordWrap/>
              <w:overflowPunct/>
              <w:topLinePunct w:val="0"/>
              <w:autoSpaceDE/>
              <w:autoSpaceDN/>
              <w:bidi w:val="0"/>
              <w:snapToGrid/>
              <w:spacing w:line="360" w:lineRule="auto"/>
              <w:ind w:right="0" w:rightChars="0"/>
              <w:jc w:val="both"/>
              <w:outlineLvl w:val="9"/>
              <w:rPr>
                <w:rFonts w:hint="eastAsia"/>
                <w:sz w:val="24"/>
                <w:szCs w:val="24"/>
                <w:lang w:val="en-US" w:eastAsia="zh-CN"/>
              </w:rPr>
            </w:pPr>
            <w:r>
              <w:rPr>
                <w:rFonts w:hint="eastAsia"/>
                <w:sz w:val="24"/>
                <w:szCs w:val="24"/>
                <w:lang w:val="en-US" w:eastAsia="zh-CN"/>
              </w:rPr>
              <w:t>1</w:t>
            </w:r>
          </w:p>
        </w:tc>
        <w:tc>
          <w:tcPr>
            <w:tcW w:w="1186" w:type="dxa"/>
            <w:tcBorders>
              <w:top w:val="single" w:color="auto" w:sz="4" w:space="0"/>
              <w:left w:val="single" w:color="auto" w:sz="4" w:space="0"/>
              <w:bottom w:val="single" w:color="auto" w:sz="4" w:space="0"/>
              <w:right w:val="single" w:color="auto" w:sz="4" w:space="0"/>
            </w:tcBorders>
            <w:noWrap w:val="0"/>
            <w:vAlign w:val="center"/>
          </w:tcPr>
          <w:p w14:paraId="0C209F07">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12/12/12</w:t>
            </w:r>
          </w:p>
        </w:tc>
        <w:tc>
          <w:tcPr>
            <w:tcW w:w="2965" w:type="dxa"/>
            <w:tcBorders>
              <w:top w:val="single" w:color="auto" w:sz="4" w:space="0"/>
              <w:left w:val="single" w:color="auto" w:sz="4" w:space="0"/>
              <w:bottom w:val="single" w:color="auto" w:sz="4" w:space="0"/>
              <w:right w:val="single" w:color="auto" w:sz="4" w:space="0"/>
            </w:tcBorders>
            <w:noWrap w:val="0"/>
            <w:vAlign w:val="center"/>
          </w:tcPr>
          <w:p w14:paraId="340ACAED">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恭城瑶族自治县恭城镇兴隆街108号人民医院住院部综合楼污梯</w:t>
            </w:r>
          </w:p>
        </w:tc>
      </w:tr>
      <w:tr w14:paraId="0FF0A7A6">
        <w:tblPrEx>
          <w:tblCellMar>
            <w:top w:w="0" w:type="dxa"/>
            <w:left w:w="108" w:type="dxa"/>
            <w:bottom w:w="0" w:type="dxa"/>
            <w:right w:w="108" w:type="dxa"/>
          </w:tblCellMar>
        </w:tblPrEx>
        <w:trPr>
          <w:trHeight w:val="1100" w:hRule="atLeast"/>
        </w:trPr>
        <w:tc>
          <w:tcPr>
            <w:tcW w:w="1302" w:type="dxa"/>
            <w:tcBorders>
              <w:top w:val="single" w:color="auto" w:sz="4" w:space="0"/>
              <w:left w:val="single" w:color="auto" w:sz="4" w:space="0"/>
              <w:bottom w:val="single" w:color="auto" w:sz="4" w:space="0"/>
              <w:right w:val="single" w:color="auto" w:sz="4" w:space="0"/>
            </w:tcBorders>
            <w:noWrap w:val="0"/>
            <w:vAlign w:val="center"/>
          </w:tcPr>
          <w:p w14:paraId="0106F93D">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乘客电梯</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07CE782A">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开灵</w:t>
            </w:r>
          </w:p>
        </w:tc>
        <w:tc>
          <w:tcPr>
            <w:tcW w:w="1588" w:type="dxa"/>
            <w:tcBorders>
              <w:top w:val="single" w:color="auto" w:sz="4" w:space="0"/>
              <w:left w:val="single" w:color="auto" w:sz="4" w:space="0"/>
              <w:bottom w:val="single" w:color="auto" w:sz="4" w:space="0"/>
              <w:right w:val="single" w:color="auto" w:sz="4" w:space="0"/>
            </w:tcBorders>
            <w:noWrap w:val="0"/>
            <w:vAlign w:val="center"/>
          </w:tcPr>
          <w:p w14:paraId="7E20F8CE">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TKJ1000/1.5-JXW-VVVF</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6881B8CD">
            <w:pPr>
              <w:keepNext w:val="0"/>
              <w:keepLines w:val="0"/>
              <w:pageBreakBefore w:val="0"/>
              <w:widowControl w:val="0"/>
              <w:kinsoku/>
              <w:wordWrap/>
              <w:overflowPunct/>
              <w:topLinePunct w:val="0"/>
              <w:autoSpaceDE/>
              <w:autoSpaceDN/>
              <w:bidi w:val="0"/>
              <w:snapToGrid/>
              <w:spacing w:line="360" w:lineRule="auto"/>
              <w:ind w:right="0" w:rightChars="0"/>
              <w:jc w:val="left"/>
              <w:outlineLvl w:val="9"/>
              <w:rPr>
                <w:rFonts w:hint="eastAsia"/>
                <w:sz w:val="24"/>
                <w:szCs w:val="24"/>
                <w:lang w:val="en-US" w:eastAsia="zh-CN"/>
              </w:rPr>
            </w:pPr>
            <w:r>
              <w:rPr>
                <w:rFonts w:hint="eastAsia"/>
                <w:sz w:val="24"/>
                <w:szCs w:val="24"/>
                <w:lang w:val="en-US" w:eastAsia="zh-CN"/>
              </w:rPr>
              <w:t>1000</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1536E6ED">
            <w:pPr>
              <w:keepNext w:val="0"/>
              <w:keepLines w:val="0"/>
              <w:pageBreakBefore w:val="0"/>
              <w:widowControl w:val="0"/>
              <w:kinsoku/>
              <w:wordWrap/>
              <w:overflowPunct/>
              <w:topLinePunct w:val="0"/>
              <w:autoSpaceDE/>
              <w:autoSpaceDN/>
              <w:bidi w:val="0"/>
              <w:snapToGrid/>
              <w:spacing w:line="360" w:lineRule="auto"/>
              <w:ind w:right="0" w:rightChars="0"/>
              <w:jc w:val="both"/>
              <w:outlineLvl w:val="9"/>
              <w:rPr>
                <w:rFonts w:hint="eastAsia"/>
                <w:sz w:val="24"/>
                <w:szCs w:val="24"/>
                <w:lang w:val="en-US" w:eastAsia="zh-CN"/>
              </w:rPr>
            </w:pPr>
            <w:r>
              <w:rPr>
                <w:rFonts w:hint="eastAsia"/>
                <w:sz w:val="24"/>
                <w:szCs w:val="24"/>
                <w:lang w:val="en-US" w:eastAsia="zh-CN"/>
              </w:rPr>
              <w:t>1</w:t>
            </w:r>
          </w:p>
        </w:tc>
        <w:tc>
          <w:tcPr>
            <w:tcW w:w="1186" w:type="dxa"/>
            <w:tcBorders>
              <w:top w:val="single" w:color="auto" w:sz="4" w:space="0"/>
              <w:left w:val="single" w:color="auto" w:sz="4" w:space="0"/>
              <w:bottom w:val="single" w:color="auto" w:sz="4" w:space="0"/>
              <w:right w:val="single" w:color="auto" w:sz="4" w:space="0"/>
            </w:tcBorders>
            <w:noWrap w:val="0"/>
            <w:vAlign w:val="center"/>
          </w:tcPr>
          <w:p w14:paraId="2DEEDC81">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12/12/12</w:t>
            </w:r>
          </w:p>
        </w:tc>
        <w:tc>
          <w:tcPr>
            <w:tcW w:w="2965" w:type="dxa"/>
            <w:tcBorders>
              <w:top w:val="single" w:color="auto" w:sz="4" w:space="0"/>
              <w:left w:val="single" w:color="auto" w:sz="4" w:space="0"/>
              <w:bottom w:val="single" w:color="auto" w:sz="4" w:space="0"/>
              <w:right w:val="single" w:color="auto" w:sz="4" w:space="0"/>
            </w:tcBorders>
            <w:noWrap w:val="0"/>
            <w:vAlign w:val="center"/>
          </w:tcPr>
          <w:p w14:paraId="0E6FA310">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恭城瑶族自治县恭城镇兴隆街108号人民医院综合楼员工梯</w:t>
            </w:r>
          </w:p>
        </w:tc>
      </w:tr>
      <w:tr w14:paraId="58F0CE62">
        <w:tblPrEx>
          <w:tblCellMar>
            <w:top w:w="0" w:type="dxa"/>
            <w:left w:w="108" w:type="dxa"/>
            <w:bottom w:w="0" w:type="dxa"/>
            <w:right w:w="108" w:type="dxa"/>
          </w:tblCellMar>
        </w:tblPrEx>
        <w:trPr>
          <w:trHeight w:val="1100" w:hRule="atLeast"/>
        </w:trPr>
        <w:tc>
          <w:tcPr>
            <w:tcW w:w="1302" w:type="dxa"/>
            <w:tcBorders>
              <w:top w:val="single" w:color="auto" w:sz="4" w:space="0"/>
              <w:left w:val="single" w:color="auto" w:sz="4" w:space="0"/>
              <w:bottom w:val="single" w:color="auto" w:sz="4" w:space="0"/>
              <w:right w:val="single" w:color="auto" w:sz="4" w:space="0"/>
            </w:tcBorders>
            <w:noWrap w:val="0"/>
            <w:vAlign w:val="center"/>
          </w:tcPr>
          <w:p w14:paraId="3FBEDCC4">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乘客电梯</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1B439B16">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三菱</w:t>
            </w:r>
          </w:p>
        </w:tc>
        <w:tc>
          <w:tcPr>
            <w:tcW w:w="1588" w:type="dxa"/>
            <w:tcBorders>
              <w:top w:val="single" w:color="auto" w:sz="4" w:space="0"/>
              <w:left w:val="single" w:color="auto" w:sz="4" w:space="0"/>
              <w:bottom w:val="single" w:color="auto" w:sz="4" w:space="0"/>
              <w:right w:val="single" w:color="auto" w:sz="4" w:space="0"/>
            </w:tcBorders>
            <w:noWrap w:val="0"/>
            <w:vAlign w:val="center"/>
          </w:tcPr>
          <w:p w14:paraId="7784821B">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HOPE-IIB</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3BB9E1AB">
            <w:pPr>
              <w:keepNext w:val="0"/>
              <w:keepLines w:val="0"/>
              <w:pageBreakBefore w:val="0"/>
              <w:widowControl w:val="0"/>
              <w:kinsoku/>
              <w:wordWrap/>
              <w:overflowPunct/>
              <w:topLinePunct w:val="0"/>
              <w:autoSpaceDE/>
              <w:autoSpaceDN/>
              <w:bidi w:val="0"/>
              <w:snapToGrid/>
              <w:spacing w:line="360" w:lineRule="auto"/>
              <w:ind w:right="0" w:rightChars="0"/>
              <w:jc w:val="left"/>
              <w:outlineLvl w:val="9"/>
              <w:rPr>
                <w:rFonts w:hint="eastAsia"/>
                <w:sz w:val="24"/>
                <w:szCs w:val="24"/>
                <w:lang w:val="en-US" w:eastAsia="zh-CN"/>
              </w:rPr>
            </w:pPr>
            <w:r>
              <w:rPr>
                <w:rFonts w:hint="eastAsia"/>
                <w:sz w:val="24"/>
                <w:szCs w:val="24"/>
                <w:lang w:val="en-US" w:eastAsia="zh-CN"/>
              </w:rPr>
              <w:t>1800</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26A19263">
            <w:pPr>
              <w:keepNext w:val="0"/>
              <w:keepLines w:val="0"/>
              <w:pageBreakBefore w:val="0"/>
              <w:widowControl w:val="0"/>
              <w:kinsoku/>
              <w:wordWrap/>
              <w:overflowPunct/>
              <w:topLinePunct w:val="0"/>
              <w:autoSpaceDE/>
              <w:autoSpaceDN/>
              <w:bidi w:val="0"/>
              <w:snapToGrid/>
              <w:spacing w:line="360" w:lineRule="auto"/>
              <w:ind w:right="0" w:rightChars="0"/>
              <w:jc w:val="both"/>
              <w:outlineLvl w:val="9"/>
              <w:rPr>
                <w:rFonts w:hint="eastAsia"/>
                <w:sz w:val="24"/>
                <w:szCs w:val="24"/>
                <w:lang w:val="en-US" w:eastAsia="zh-CN"/>
              </w:rPr>
            </w:pPr>
            <w:r>
              <w:rPr>
                <w:rFonts w:hint="eastAsia"/>
                <w:sz w:val="24"/>
                <w:szCs w:val="24"/>
                <w:lang w:val="en-US" w:eastAsia="zh-CN"/>
              </w:rPr>
              <w:t>1</w:t>
            </w:r>
          </w:p>
        </w:tc>
        <w:tc>
          <w:tcPr>
            <w:tcW w:w="1186" w:type="dxa"/>
            <w:tcBorders>
              <w:top w:val="single" w:color="auto" w:sz="4" w:space="0"/>
              <w:left w:val="single" w:color="auto" w:sz="4" w:space="0"/>
              <w:bottom w:val="single" w:color="auto" w:sz="4" w:space="0"/>
              <w:right w:val="single" w:color="auto" w:sz="4" w:space="0"/>
            </w:tcBorders>
            <w:noWrap w:val="0"/>
            <w:vAlign w:val="center"/>
          </w:tcPr>
          <w:p w14:paraId="0EE72336">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11/11/11</w:t>
            </w:r>
          </w:p>
        </w:tc>
        <w:tc>
          <w:tcPr>
            <w:tcW w:w="2965" w:type="dxa"/>
            <w:tcBorders>
              <w:top w:val="single" w:color="auto" w:sz="4" w:space="0"/>
              <w:left w:val="single" w:color="auto" w:sz="4" w:space="0"/>
              <w:bottom w:val="single" w:color="auto" w:sz="4" w:space="0"/>
              <w:right w:val="single" w:color="auto" w:sz="4" w:space="0"/>
            </w:tcBorders>
            <w:noWrap w:val="0"/>
            <w:vAlign w:val="center"/>
          </w:tcPr>
          <w:p w14:paraId="172252B3">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恭城瑶族自治县恭城镇兴隆街108号人民医院综合楼右梯</w:t>
            </w:r>
          </w:p>
        </w:tc>
      </w:tr>
      <w:tr w14:paraId="08911698">
        <w:tblPrEx>
          <w:tblCellMar>
            <w:top w:w="0" w:type="dxa"/>
            <w:left w:w="108" w:type="dxa"/>
            <w:bottom w:w="0" w:type="dxa"/>
            <w:right w:w="108" w:type="dxa"/>
          </w:tblCellMar>
        </w:tblPrEx>
        <w:trPr>
          <w:trHeight w:val="1100" w:hRule="atLeast"/>
        </w:trPr>
        <w:tc>
          <w:tcPr>
            <w:tcW w:w="1302" w:type="dxa"/>
            <w:tcBorders>
              <w:top w:val="single" w:color="auto" w:sz="4" w:space="0"/>
              <w:left w:val="single" w:color="auto" w:sz="4" w:space="0"/>
              <w:bottom w:val="single" w:color="auto" w:sz="4" w:space="0"/>
              <w:right w:val="single" w:color="auto" w:sz="4" w:space="0"/>
            </w:tcBorders>
            <w:noWrap w:val="0"/>
            <w:vAlign w:val="center"/>
          </w:tcPr>
          <w:p w14:paraId="3270E490">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乘客电梯</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6F55C745">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eastAsia="zh-CN"/>
              </w:rPr>
            </w:pPr>
            <w:r>
              <w:rPr>
                <w:rFonts w:hint="eastAsia"/>
                <w:sz w:val="24"/>
                <w:szCs w:val="24"/>
                <w:lang w:eastAsia="zh-CN"/>
              </w:rPr>
              <w:t>三菱</w:t>
            </w:r>
          </w:p>
        </w:tc>
        <w:tc>
          <w:tcPr>
            <w:tcW w:w="1588" w:type="dxa"/>
            <w:tcBorders>
              <w:top w:val="single" w:color="auto" w:sz="4" w:space="0"/>
              <w:left w:val="single" w:color="auto" w:sz="4" w:space="0"/>
              <w:bottom w:val="single" w:color="auto" w:sz="4" w:space="0"/>
              <w:right w:val="single" w:color="auto" w:sz="4" w:space="0"/>
            </w:tcBorders>
            <w:noWrap w:val="0"/>
            <w:vAlign w:val="center"/>
          </w:tcPr>
          <w:p w14:paraId="3E55E8F8">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HOPE-IIB</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1AB51E2A">
            <w:pPr>
              <w:keepNext w:val="0"/>
              <w:keepLines w:val="0"/>
              <w:pageBreakBefore w:val="0"/>
              <w:widowControl w:val="0"/>
              <w:kinsoku/>
              <w:wordWrap/>
              <w:overflowPunct/>
              <w:topLinePunct w:val="0"/>
              <w:autoSpaceDE/>
              <w:autoSpaceDN/>
              <w:bidi w:val="0"/>
              <w:snapToGrid/>
              <w:spacing w:line="360" w:lineRule="auto"/>
              <w:ind w:right="0" w:rightChars="0"/>
              <w:jc w:val="left"/>
              <w:outlineLvl w:val="9"/>
              <w:rPr>
                <w:rFonts w:hint="eastAsia"/>
                <w:sz w:val="24"/>
                <w:szCs w:val="24"/>
                <w:lang w:val="en-US" w:eastAsia="zh-CN"/>
              </w:rPr>
            </w:pPr>
            <w:r>
              <w:rPr>
                <w:rFonts w:hint="eastAsia"/>
                <w:sz w:val="24"/>
                <w:szCs w:val="24"/>
                <w:lang w:val="en-US" w:eastAsia="zh-CN"/>
              </w:rPr>
              <w:t>1800</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59126B47">
            <w:pPr>
              <w:keepNext w:val="0"/>
              <w:keepLines w:val="0"/>
              <w:pageBreakBefore w:val="0"/>
              <w:widowControl w:val="0"/>
              <w:kinsoku/>
              <w:wordWrap/>
              <w:overflowPunct/>
              <w:topLinePunct w:val="0"/>
              <w:autoSpaceDE/>
              <w:autoSpaceDN/>
              <w:bidi w:val="0"/>
              <w:snapToGrid/>
              <w:spacing w:line="360" w:lineRule="auto"/>
              <w:ind w:right="0" w:rightChars="0"/>
              <w:jc w:val="both"/>
              <w:outlineLvl w:val="9"/>
              <w:rPr>
                <w:rFonts w:hint="eastAsia"/>
                <w:sz w:val="24"/>
                <w:szCs w:val="24"/>
                <w:lang w:val="en-US" w:eastAsia="zh-CN"/>
              </w:rPr>
            </w:pPr>
            <w:r>
              <w:rPr>
                <w:rFonts w:hint="eastAsia"/>
                <w:sz w:val="24"/>
                <w:szCs w:val="24"/>
                <w:lang w:val="en-US" w:eastAsia="zh-CN"/>
              </w:rPr>
              <w:t>1</w:t>
            </w:r>
          </w:p>
        </w:tc>
        <w:tc>
          <w:tcPr>
            <w:tcW w:w="1186" w:type="dxa"/>
            <w:tcBorders>
              <w:top w:val="single" w:color="auto" w:sz="4" w:space="0"/>
              <w:left w:val="single" w:color="auto" w:sz="4" w:space="0"/>
              <w:bottom w:val="single" w:color="auto" w:sz="4" w:space="0"/>
              <w:right w:val="single" w:color="auto" w:sz="4" w:space="0"/>
            </w:tcBorders>
            <w:noWrap w:val="0"/>
            <w:vAlign w:val="center"/>
          </w:tcPr>
          <w:p w14:paraId="1E0B84A5">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11/11/11</w:t>
            </w:r>
          </w:p>
        </w:tc>
        <w:tc>
          <w:tcPr>
            <w:tcW w:w="2965" w:type="dxa"/>
            <w:tcBorders>
              <w:top w:val="single" w:color="auto" w:sz="4" w:space="0"/>
              <w:left w:val="single" w:color="auto" w:sz="4" w:space="0"/>
              <w:bottom w:val="single" w:color="auto" w:sz="4" w:space="0"/>
              <w:right w:val="single" w:color="auto" w:sz="4" w:space="0"/>
            </w:tcBorders>
            <w:noWrap w:val="0"/>
            <w:vAlign w:val="center"/>
          </w:tcPr>
          <w:p w14:paraId="70B426EF">
            <w:pPr>
              <w:keepNext w:val="0"/>
              <w:keepLines w:val="0"/>
              <w:pageBreakBefore w:val="0"/>
              <w:widowControl w:val="0"/>
              <w:kinsoku/>
              <w:wordWrap/>
              <w:overflowPunct/>
              <w:topLinePunct w:val="0"/>
              <w:autoSpaceDE/>
              <w:autoSpaceDN/>
              <w:bidi w:val="0"/>
              <w:snapToGrid/>
              <w:spacing w:line="360" w:lineRule="auto"/>
              <w:ind w:right="0" w:rightChars="0"/>
              <w:outlineLvl w:val="9"/>
              <w:rPr>
                <w:rFonts w:hint="eastAsia"/>
                <w:sz w:val="24"/>
                <w:szCs w:val="24"/>
                <w:lang w:val="en-US" w:eastAsia="zh-CN"/>
              </w:rPr>
            </w:pPr>
            <w:r>
              <w:rPr>
                <w:rFonts w:hint="eastAsia"/>
                <w:sz w:val="24"/>
                <w:szCs w:val="24"/>
                <w:lang w:val="en-US" w:eastAsia="zh-CN"/>
              </w:rPr>
              <w:t>恭城瑶族自治县恭城镇兴隆街108号人民医院综合楼左梯</w:t>
            </w:r>
          </w:p>
        </w:tc>
      </w:tr>
    </w:tbl>
    <w:p w14:paraId="154AB644">
      <w:pPr>
        <w:rPr>
          <w:rFonts w:hint="eastAsia"/>
          <w:lang w:val="en-US" w:eastAsia="zh-CN"/>
        </w:rPr>
      </w:pPr>
    </w:p>
    <w:p w14:paraId="30309E98">
      <w:pPr>
        <w:pStyle w:val="19"/>
        <w:spacing w:before="156" w:line="225" w:lineRule="auto"/>
        <w:ind w:left="139"/>
        <w:rPr>
          <w:rFonts w:ascii="宋体" w:hAnsi="宋体" w:eastAsia="宋体" w:cs="宋体"/>
        </w:rPr>
      </w:pPr>
      <w:r>
        <w:rPr>
          <w:rFonts w:hint="eastAsia" w:ascii="宋体" w:hAnsi="宋体" w:eastAsia="宋体" w:cs="宋体"/>
          <w:spacing w:val="-5"/>
          <w:lang w:val="en-US" w:eastAsia="zh-CN"/>
        </w:rPr>
        <w:t>二、</w:t>
      </w:r>
      <w:r>
        <w:rPr>
          <w:rFonts w:ascii="宋体" w:hAnsi="宋体" w:eastAsia="宋体" w:cs="宋体"/>
          <w:spacing w:val="-5"/>
        </w:rPr>
        <w:t>服务要求：</w:t>
      </w:r>
    </w:p>
    <w:p w14:paraId="32E9C679">
      <w:pPr>
        <w:pStyle w:val="19"/>
        <w:spacing w:before="247" w:line="220" w:lineRule="auto"/>
        <w:ind w:firstLine="618" w:firstLineChars="300"/>
        <w:rPr>
          <w:rFonts w:ascii="宋体" w:hAnsi="宋体" w:eastAsia="宋体" w:cs="宋体"/>
        </w:rPr>
      </w:pPr>
      <w:r>
        <w:rPr>
          <w:spacing w:val="-2"/>
        </w:rPr>
        <w:t>1</w:t>
      </w:r>
      <w:r>
        <w:rPr>
          <w:rFonts w:ascii="宋体" w:hAnsi="宋体" w:eastAsia="宋体" w:cs="宋体"/>
          <w:spacing w:val="-2"/>
        </w:rPr>
        <w:t>、供应商应提供年度维保大纲及月度维保的详细计划，</w:t>
      </w:r>
    </w:p>
    <w:p w14:paraId="73FDCA8E">
      <w:pPr>
        <w:pStyle w:val="19"/>
        <w:spacing w:before="268" w:line="352" w:lineRule="auto"/>
        <w:ind w:right="135" w:firstLine="624" w:firstLineChars="300"/>
        <w:rPr>
          <w:rFonts w:ascii="宋体" w:hAnsi="宋体" w:eastAsia="宋体" w:cs="宋体"/>
          <w:spacing w:val="-3"/>
          <w:sz w:val="21"/>
          <w:szCs w:val="21"/>
        </w:rPr>
      </w:pPr>
      <w:r>
        <w:rPr>
          <w:spacing w:val="-1"/>
        </w:rPr>
        <w:t>2</w:t>
      </w:r>
      <w:r>
        <w:rPr>
          <w:rFonts w:ascii="宋体" w:hAnsi="宋体" w:eastAsia="宋体" w:cs="宋体"/>
          <w:spacing w:val="-1"/>
        </w:rPr>
        <w:t>、接到故障通知后，应急抢修和困人解救响应时间在</w:t>
      </w:r>
      <w:r>
        <w:rPr>
          <w:rFonts w:ascii="宋体" w:hAnsi="宋体" w:eastAsia="宋体" w:cs="宋体"/>
          <w:spacing w:val="-26"/>
        </w:rPr>
        <w:t xml:space="preserve"> </w:t>
      </w:r>
      <w:r>
        <w:rPr>
          <w:rFonts w:hint="eastAsia" w:eastAsia="宋体"/>
          <w:spacing w:val="-1"/>
          <w:lang w:val="en-US" w:eastAsia="zh-CN"/>
        </w:rPr>
        <w:t>150</w:t>
      </w:r>
      <w:r>
        <w:rPr>
          <w:rFonts w:ascii="宋体" w:hAnsi="宋体" w:eastAsia="宋体" w:cs="宋体"/>
          <w:spacing w:val="-1"/>
        </w:rPr>
        <w:t>分钟内到达。逾期或</w:t>
      </w:r>
      <w:r>
        <w:rPr>
          <w:rFonts w:ascii="宋体" w:hAnsi="宋体" w:eastAsia="宋体" w:cs="宋体"/>
        </w:rPr>
        <w:t>超时的，第一次扣罚</w:t>
      </w:r>
      <w:r>
        <w:rPr>
          <w:rFonts w:ascii="宋体" w:hAnsi="宋体" w:eastAsia="宋体" w:cs="宋体"/>
          <w:spacing w:val="-46"/>
        </w:rPr>
        <w:t xml:space="preserve"> </w:t>
      </w:r>
      <w:r>
        <w:t xml:space="preserve">200 </w:t>
      </w:r>
      <w:r>
        <w:rPr>
          <w:rFonts w:ascii="宋体" w:hAnsi="宋体" w:eastAsia="宋体" w:cs="宋体"/>
        </w:rPr>
        <w:t>元，第二次扣</w:t>
      </w:r>
      <w:r>
        <w:rPr>
          <w:rFonts w:ascii="宋体" w:hAnsi="宋体" w:eastAsia="宋体" w:cs="宋体"/>
          <w:spacing w:val="-1"/>
        </w:rPr>
        <w:t>罚相当于一个月的维保费用，第三次则</w:t>
      </w:r>
      <w:r>
        <w:rPr>
          <w:rFonts w:ascii="宋体" w:hAnsi="宋体" w:eastAsia="宋体" w:cs="宋体"/>
        </w:rPr>
        <w:t>视为违约。经采购人确认，采购人有权终止委托合同，由此引起的所有损</w:t>
      </w:r>
      <w:r>
        <w:rPr>
          <w:rFonts w:ascii="宋体" w:hAnsi="宋体" w:eastAsia="宋体" w:cs="宋体"/>
          <w:spacing w:val="-1"/>
        </w:rPr>
        <w:t>失，</w:t>
      </w:r>
      <w:r>
        <w:rPr>
          <w:rFonts w:ascii="宋体" w:hAnsi="宋体" w:eastAsia="宋体" w:cs="宋体"/>
        </w:rPr>
        <w:t xml:space="preserve"> 由供应商自行承担。由于维修人员未在规定时间到达，在此期间发生的</w:t>
      </w:r>
      <w:r>
        <w:rPr>
          <w:rFonts w:ascii="宋体" w:hAnsi="宋体" w:eastAsia="宋体" w:cs="宋体"/>
          <w:spacing w:val="-1"/>
        </w:rPr>
        <w:t>安全事</w:t>
      </w:r>
      <w:r>
        <w:rPr>
          <w:rFonts w:ascii="宋体" w:hAnsi="宋体" w:eastAsia="宋体" w:cs="宋体"/>
        </w:rPr>
        <w:t>故，属维保不当，维保方承担所造成的全部经济损失和法律责任。（采</w:t>
      </w:r>
      <w:r>
        <w:rPr>
          <w:rFonts w:ascii="宋体" w:hAnsi="宋体" w:eastAsia="宋体" w:cs="宋体"/>
          <w:spacing w:val="-1"/>
        </w:rPr>
        <w:t>购人通</w:t>
      </w:r>
      <w:r>
        <w:rPr>
          <w:rFonts w:ascii="宋体" w:hAnsi="宋体" w:eastAsia="宋体" w:cs="宋体"/>
        </w:rPr>
        <w:t>知维保商维修的时间为起算节点以采购人电子邮件、微信、短信等其他有</w:t>
      </w:r>
      <w:r>
        <w:rPr>
          <w:rFonts w:ascii="宋体" w:hAnsi="宋体" w:eastAsia="宋体" w:cs="宋体"/>
          <w:spacing w:val="-1"/>
        </w:rPr>
        <w:t>具可</w:t>
      </w:r>
      <w:r>
        <w:rPr>
          <w:rFonts w:ascii="宋体" w:hAnsi="宋体" w:eastAsia="宋体" w:cs="宋体"/>
          <w:spacing w:val="-3"/>
          <w:sz w:val="21"/>
          <w:szCs w:val="21"/>
        </w:rPr>
        <w:t>查的时间为准。）</w:t>
      </w:r>
    </w:p>
    <w:p w14:paraId="7CEF8530">
      <w:pPr>
        <w:pStyle w:val="19"/>
        <w:spacing w:before="268" w:line="352" w:lineRule="auto"/>
        <w:ind w:right="135" w:firstLine="624" w:firstLineChars="300"/>
        <w:rPr>
          <w:spacing w:val="-1"/>
        </w:rPr>
      </w:pPr>
      <w:r>
        <w:rPr>
          <w:spacing w:val="-1"/>
        </w:rPr>
        <w:t>3、现场维修或维保人员应持有《电梯机械安装维修证》（T1）和《电梯电气安装维修证》（T2）以及其他法律允许的证书。</w:t>
      </w:r>
    </w:p>
    <w:p w14:paraId="7C223432">
      <w:pPr>
        <w:pStyle w:val="19"/>
        <w:spacing w:before="268" w:line="352" w:lineRule="auto"/>
        <w:ind w:right="135" w:firstLine="624" w:firstLineChars="300"/>
        <w:rPr>
          <w:spacing w:val="-1"/>
        </w:rPr>
      </w:pPr>
      <w:r>
        <w:rPr>
          <w:rFonts w:hint="eastAsia"/>
          <w:spacing w:val="-1"/>
          <w:lang w:val="en-US" w:eastAsia="zh-CN"/>
        </w:rPr>
        <w:t>三</w:t>
      </w:r>
      <w:r>
        <w:rPr>
          <w:spacing w:val="-1"/>
        </w:rPr>
        <w:t>、服务标准</w:t>
      </w:r>
    </w:p>
    <w:p w14:paraId="7CF4A23E">
      <w:pPr>
        <w:pStyle w:val="19"/>
        <w:spacing w:before="268" w:line="352" w:lineRule="auto"/>
        <w:ind w:right="135" w:firstLine="624" w:firstLineChars="300"/>
        <w:rPr>
          <w:spacing w:val="-1"/>
        </w:rPr>
      </w:pPr>
      <w:r>
        <w:rPr>
          <w:spacing w:val="-1"/>
        </w:rPr>
        <w:t>对电梯进行维修、调整、检查、润滑等日常工作。其中清洁、润滑不包括 部件的解体，调整只限于不会改变任何安全性能的调整， 符合《电梯监督检验 和定期检验规则-曳引与强制驱动电梯》（TSG T7001-2009，含第 1、2 号修改 单）、《特种设备使用管理规则》（TSG 08-2017）、《电梯维护保养规则》（TSG T5002-2017）、《电梯、自动扶梯和自动人行道维修规范》（GB/T18775-2009）、 DB45/681-2010 广西壮族自治区地方标准《电梯日常维护保养 规范》、《广西壮族自治区电梯安全条例》的基本要求， 以上规章、标准不论 有无年代号，除有特别说明的以外，均以最新有效版本为准。对电梯实施每月 贰 次保养，每季度进行壹次专项检测， 每半年进行壹次全面检测，以保证电梯良 好的使用状态。至少每 15 日派遣技术人员对本合同电梯执行日常性维护保养工作， 具体保养项目及要求应符合但不限于《电梯维护保养规则》（TSGT5002-2017）之规定。</w:t>
      </w:r>
    </w:p>
    <w:p w14:paraId="05EF647D">
      <w:pPr>
        <w:pStyle w:val="19"/>
        <w:spacing w:before="268" w:line="352" w:lineRule="auto"/>
        <w:ind w:right="135" w:firstLine="624" w:firstLineChars="300"/>
        <w:rPr>
          <w:spacing w:val="-1"/>
        </w:rPr>
      </w:pPr>
      <w:r>
        <w:rPr>
          <w:rFonts w:hint="eastAsia"/>
          <w:spacing w:val="-1"/>
          <w:lang w:val="en-US" w:eastAsia="zh-CN"/>
        </w:rPr>
        <w:t>四</w:t>
      </w:r>
      <w:r>
        <w:rPr>
          <w:spacing w:val="-1"/>
        </w:rPr>
        <w:t>、检验标准：</w:t>
      </w:r>
    </w:p>
    <w:p w14:paraId="421A64FE">
      <w:pPr>
        <w:pStyle w:val="19"/>
        <w:spacing w:before="246" w:line="225" w:lineRule="auto"/>
        <w:ind w:left="147" w:firstLine="408" w:firstLineChars="200"/>
        <w:rPr>
          <w:rFonts w:ascii="宋体" w:hAnsi="宋体" w:eastAsia="宋体" w:cs="宋体"/>
          <w:spacing w:val="-3"/>
        </w:rPr>
      </w:pPr>
      <w:r>
        <w:rPr>
          <w:rFonts w:ascii="宋体" w:hAnsi="宋体" w:eastAsia="宋体" w:cs="宋体"/>
          <w:spacing w:val="-3"/>
        </w:rPr>
        <w:t>电梯监督检验和定期检验规则 TSG 7001-2009</w:t>
      </w:r>
    </w:p>
    <w:p w14:paraId="66FBC2F7">
      <w:pPr>
        <w:pStyle w:val="19"/>
        <w:spacing w:before="246" w:line="225" w:lineRule="auto"/>
        <w:ind w:left="147"/>
        <w:rPr>
          <w:rFonts w:ascii="宋体" w:hAnsi="宋体" w:eastAsia="宋体" w:cs="宋体"/>
          <w:spacing w:val="-3"/>
        </w:rPr>
      </w:pPr>
      <w:r>
        <w:rPr>
          <w:rFonts w:ascii="宋体" w:hAnsi="宋体" w:eastAsia="宋体" w:cs="宋体"/>
          <w:spacing w:val="-3"/>
        </w:rPr>
        <w:t>以上规章、标准不论有无年代号，除有特别说明的以外， 均以最新有效版本为准。</w:t>
      </w:r>
    </w:p>
    <w:p w14:paraId="27DF17CD">
      <w:pPr>
        <w:pStyle w:val="19"/>
        <w:spacing w:before="149" w:line="225" w:lineRule="auto"/>
        <w:ind w:left="147" w:firstLine="400" w:firstLineChars="200"/>
        <w:rPr>
          <w:rFonts w:ascii="宋体" w:hAnsi="宋体" w:eastAsia="宋体" w:cs="宋体"/>
        </w:rPr>
      </w:pPr>
      <w:r>
        <w:rPr>
          <w:rFonts w:hint="eastAsia" w:ascii="宋体" w:hAnsi="宋体" w:eastAsia="宋体" w:cs="宋体"/>
          <w:spacing w:val="-5"/>
          <w:lang w:val="en-US" w:eastAsia="zh-CN"/>
        </w:rPr>
        <w:t>五</w:t>
      </w:r>
      <w:r>
        <w:rPr>
          <w:rFonts w:ascii="宋体" w:hAnsi="宋体" w:eastAsia="宋体" w:cs="宋体"/>
          <w:spacing w:val="-5"/>
        </w:rPr>
        <w:t>、维保要求：</w:t>
      </w:r>
    </w:p>
    <w:p w14:paraId="580D0388">
      <w:pPr>
        <w:pStyle w:val="19"/>
        <w:spacing w:before="189" w:line="387" w:lineRule="auto"/>
        <w:ind w:left="117" w:right="104" w:firstLine="431"/>
        <w:rPr>
          <w:spacing w:val="-2"/>
        </w:rPr>
      </w:pPr>
      <w:r>
        <w:rPr>
          <w:spacing w:val="-2"/>
          <w:lang w:val="en-US" w:eastAsia="en-US"/>
        </w:rPr>
        <w:t>供应商应严格遵照电梯生产厂家随梯发来的《使用维护说明书》对电梯进行维修、调整、检查、润滑等日常工作。其中清洁、润滑不包括部件的解体，</w:t>
      </w:r>
      <w:r>
        <w:rPr>
          <w:spacing w:val="-2"/>
        </w:rPr>
        <w:t>调整只限于不会改变任何安全性能的调整，符合《电梯监督检验和定期检验规  则-曳引与强制驱动电梯》（TSG T7001-2009，含第 1、2 号修改单） 、《特种 设备使用管理规则》（TSG 08-2017）、《电梯维护保养规则》（TSG T5002-2017）、《电梯、自动扶梯和自动人行道维修规范》（GB/T 18775-2009）、DB45/681-2010 广西壮族自治区地方标准《电梯日常维护保养规范》、《广西 壮族自治区电梯安全条例》的基本要求， 以上规章、标准不论有无年代号， 除有特别说明的以外， 均以最新有效版本为准。对电梯实施每月贰次保养，</w:t>
      </w:r>
      <w:r>
        <w:rPr>
          <w:rFonts w:hint="eastAsia" w:eastAsia="宋体"/>
          <w:spacing w:val="-2"/>
          <w:lang w:val="en-US" w:eastAsia="zh-CN"/>
        </w:rPr>
        <w:t>每</w:t>
      </w:r>
      <w:r>
        <w:rPr>
          <w:spacing w:val="-2"/>
        </w:rPr>
        <w:t>季度进行壹次专项检测， 每半年进行壹次全面检测，以保证电梯良好的使用状态。至少每 15 日派遣技术人员对本合同电梯执行日常性维护保养工作， 具体保养项目及要求应符合但不限于《电梯维护保养规则》（TSG T5002-2017）之规定。</w:t>
      </w:r>
    </w:p>
    <w:p w14:paraId="28F51B40">
      <w:pPr>
        <w:spacing w:before="190" w:line="220" w:lineRule="auto"/>
        <w:ind w:left="534"/>
        <w:rPr>
          <w:rFonts w:ascii="宋体" w:hAnsi="宋体" w:eastAsia="宋体" w:cs="宋体"/>
          <w:sz w:val="21"/>
          <w:szCs w:val="21"/>
        </w:rPr>
      </w:pPr>
      <w:r>
        <w:rPr>
          <w:rFonts w:ascii="宋体" w:hAnsi="宋体" w:eastAsia="宋体" w:cs="宋体"/>
          <w:spacing w:val="-1"/>
          <w:sz w:val="21"/>
          <w:szCs w:val="21"/>
        </w:rPr>
        <w:t>供应商的责任和义务：</w:t>
      </w:r>
    </w:p>
    <w:p w14:paraId="0B5DB1F1">
      <w:pPr>
        <w:pStyle w:val="19"/>
        <w:spacing w:before="189" w:line="387" w:lineRule="auto"/>
        <w:ind w:left="117" w:right="104" w:firstLine="431"/>
        <w:rPr>
          <w:rFonts w:ascii="宋体" w:hAnsi="宋体" w:eastAsia="宋体" w:cs="宋体"/>
          <w:sz w:val="21"/>
          <w:szCs w:val="21"/>
        </w:rPr>
      </w:pPr>
      <w:r>
        <w:rPr>
          <w:spacing w:val="-2"/>
        </w:rPr>
        <w:t>1</w:t>
      </w:r>
      <w:r>
        <w:rPr>
          <w:rFonts w:ascii="宋体" w:hAnsi="宋体" w:eastAsia="宋体" w:cs="宋体"/>
          <w:spacing w:val="-2"/>
        </w:rPr>
        <w:t>、应当具备特种设备安全监管部门核发的相应许可证照。不挂</w:t>
      </w:r>
      <w:r>
        <w:rPr>
          <w:rFonts w:ascii="宋体" w:hAnsi="宋体" w:eastAsia="宋体" w:cs="宋体"/>
          <w:spacing w:val="-3"/>
        </w:rPr>
        <w:t>靠其他电梯</w:t>
      </w:r>
      <w:r>
        <w:rPr>
          <w:rFonts w:ascii="宋体" w:hAnsi="宋体" w:eastAsia="宋体" w:cs="宋体"/>
        </w:rPr>
        <w:t xml:space="preserve"> </w:t>
      </w:r>
      <w:r>
        <w:rPr>
          <w:rFonts w:ascii="宋体" w:hAnsi="宋体" w:eastAsia="宋体" w:cs="宋体"/>
          <w:spacing w:val="2"/>
        </w:rPr>
        <w:t>维护单位与采购人签订维修维护合同；不转包、分包</w:t>
      </w:r>
      <w:r>
        <w:rPr>
          <w:rFonts w:ascii="宋体" w:hAnsi="宋体" w:eastAsia="宋体" w:cs="宋体"/>
          <w:spacing w:val="1"/>
        </w:rPr>
        <w:t>与采购人签订的电梯维修</w:t>
      </w:r>
      <w:r>
        <w:rPr>
          <w:rFonts w:ascii="宋体" w:hAnsi="宋体" w:eastAsia="宋体" w:cs="宋体"/>
          <w:spacing w:val="-4"/>
          <w:sz w:val="21"/>
          <w:szCs w:val="21"/>
        </w:rPr>
        <w:t>维护保养业务。</w:t>
      </w:r>
    </w:p>
    <w:p w14:paraId="0912D373">
      <w:pPr>
        <w:pStyle w:val="19"/>
        <w:spacing w:before="188" w:line="387" w:lineRule="auto"/>
        <w:ind w:left="113" w:right="104" w:firstLine="418"/>
        <w:rPr>
          <w:rFonts w:ascii="宋体" w:hAnsi="宋体" w:eastAsia="宋体" w:cs="宋体"/>
          <w:spacing w:val="-2"/>
        </w:rPr>
      </w:pPr>
      <w:r>
        <w:rPr>
          <w:spacing w:val="-2"/>
        </w:rPr>
        <w:t>2</w:t>
      </w:r>
      <w:r>
        <w:rPr>
          <w:rFonts w:ascii="宋体" w:hAnsi="宋体" w:eastAsia="宋体" w:cs="宋体"/>
          <w:spacing w:val="-2"/>
        </w:rPr>
        <w:t>、合同履行期间，</w:t>
      </w:r>
      <w:r>
        <w:rPr>
          <w:rFonts w:ascii="宋体" w:hAnsi="宋体" w:eastAsia="宋体" w:cs="宋体"/>
          <w:spacing w:val="-22"/>
        </w:rPr>
        <w:t xml:space="preserve"> </w:t>
      </w:r>
      <w:r>
        <w:rPr>
          <w:rFonts w:ascii="宋体" w:hAnsi="宋体" w:eastAsia="宋体" w:cs="宋体"/>
          <w:spacing w:val="-2"/>
        </w:rPr>
        <w:t>应按照《电梯维护保养规则》（</w:t>
      </w:r>
      <w:r>
        <w:rPr>
          <w:spacing w:val="-2"/>
        </w:rPr>
        <w:t>TSG T</w:t>
      </w:r>
      <w:r>
        <w:rPr>
          <w:spacing w:val="-3"/>
        </w:rPr>
        <w:t>5002-2017</w:t>
      </w:r>
      <w:r>
        <w:rPr>
          <w:rFonts w:ascii="宋体" w:hAnsi="宋体" w:eastAsia="宋体" w:cs="宋体"/>
          <w:spacing w:val="-3"/>
        </w:rPr>
        <w:t>）等</w:t>
      </w:r>
      <w:r>
        <w:rPr>
          <w:rFonts w:ascii="宋体" w:hAnsi="宋体" w:eastAsia="宋体" w:cs="宋体"/>
        </w:rPr>
        <w:t xml:space="preserve"> </w:t>
      </w:r>
      <w:r>
        <w:rPr>
          <w:rFonts w:ascii="宋体" w:hAnsi="宋体" w:eastAsia="宋体" w:cs="宋体"/>
          <w:spacing w:val="1"/>
        </w:rPr>
        <w:t>政策规范的规定，履行义务，在签订本合同时，已经获得并知晓该规则。按照</w:t>
      </w:r>
      <w:r>
        <w:rPr>
          <w:rFonts w:ascii="宋体" w:hAnsi="宋体" w:eastAsia="宋体" w:cs="宋体"/>
        </w:rPr>
        <w:t>有关安全技术规范以及电梯产品安装使用维护说明书的要求，制定维保方案，</w:t>
      </w:r>
      <w:r>
        <w:rPr>
          <w:rFonts w:ascii="宋体" w:hAnsi="宋体" w:eastAsia="宋体" w:cs="宋体"/>
          <w:spacing w:val="10"/>
        </w:rPr>
        <w:t xml:space="preserve"> </w:t>
      </w:r>
      <w:r>
        <w:rPr>
          <w:rFonts w:ascii="宋体" w:hAnsi="宋体" w:eastAsia="宋体" w:cs="宋体"/>
          <w:spacing w:val="2"/>
        </w:rPr>
        <w:t>确保其维保电梯的安全性能。根据国家相关法律法规，结合采</w:t>
      </w:r>
      <w:r>
        <w:rPr>
          <w:rFonts w:ascii="宋体" w:hAnsi="宋体" w:eastAsia="宋体" w:cs="宋体"/>
          <w:spacing w:val="1"/>
        </w:rPr>
        <w:t>购人设</w:t>
      </w:r>
      <w:r>
        <w:rPr>
          <w:rFonts w:ascii="宋体" w:hAnsi="宋体" w:eastAsia="宋体" w:cs="宋体"/>
          <w:spacing w:val="-2"/>
        </w:rPr>
        <w:t>备的工艺 和要求， 对设备进行调整、检查、润滑、清洁等维护保养工作，以保持设备的正常进行。</w:t>
      </w:r>
    </w:p>
    <w:p w14:paraId="23B4E3B6">
      <w:pPr>
        <w:pStyle w:val="19"/>
        <w:spacing w:before="188" w:line="387" w:lineRule="auto"/>
        <w:ind w:left="113" w:right="104" w:firstLine="418"/>
        <w:rPr>
          <w:rFonts w:ascii="宋体" w:hAnsi="宋体" w:eastAsia="宋体" w:cs="宋体"/>
          <w:spacing w:val="-2"/>
        </w:rPr>
      </w:pPr>
      <w:r>
        <w:rPr>
          <w:rFonts w:ascii="宋体" w:hAnsi="宋体" w:eastAsia="宋体" w:cs="宋体"/>
          <w:spacing w:val="-2"/>
        </w:rPr>
        <w:t>3、制定应急措施和救援预案， 每半年至少针对维保的电梯进行一次应急演练。</w:t>
      </w:r>
    </w:p>
    <w:p w14:paraId="4124B0C5">
      <w:pPr>
        <w:pStyle w:val="19"/>
        <w:spacing w:before="189" w:line="220" w:lineRule="auto"/>
        <w:ind w:firstLine="594" w:firstLineChars="300"/>
        <w:jc w:val="both"/>
        <w:rPr>
          <w:rFonts w:ascii="宋体" w:hAnsi="宋体" w:eastAsia="宋体" w:cs="宋体"/>
        </w:rPr>
      </w:pPr>
      <w:r>
        <w:rPr>
          <w:spacing w:val="-6"/>
        </w:rPr>
        <w:t>4</w:t>
      </w:r>
      <w:r>
        <w:rPr>
          <w:rFonts w:ascii="宋体" w:hAnsi="宋体" w:eastAsia="宋体" w:cs="宋体"/>
          <w:spacing w:val="-6"/>
        </w:rPr>
        <w:t>、每次保养前必须通知采购人现场负责人，取其同意后方可进行保养工作。</w:t>
      </w:r>
    </w:p>
    <w:p w14:paraId="5EB3CAD6">
      <w:pPr>
        <w:pStyle w:val="19"/>
        <w:spacing w:before="188" w:line="221" w:lineRule="auto"/>
        <w:ind w:left="594"/>
        <w:rPr>
          <w:rFonts w:ascii="宋体" w:hAnsi="宋体" w:eastAsia="宋体" w:cs="宋体"/>
        </w:rPr>
      </w:pPr>
      <w:r>
        <w:rPr>
          <w:spacing w:val="-1"/>
        </w:rPr>
        <w:t>5</w:t>
      </w:r>
      <w:r>
        <w:rPr>
          <w:rFonts w:ascii="宋体" w:hAnsi="宋体" w:eastAsia="宋体" w:cs="宋体"/>
          <w:spacing w:val="-1"/>
        </w:rPr>
        <w:t>、停止设备运行的保养维修工作，应有明显的检修标志。</w:t>
      </w:r>
    </w:p>
    <w:p w14:paraId="6317A1A4">
      <w:pPr>
        <w:pStyle w:val="19"/>
        <w:spacing w:before="188" w:line="221" w:lineRule="auto"/>
        <w:ind w:left="594"/>
        <w:rPr>
          <w:rFonts w:ascii="宋体" w:hAnsi="宋体" w:eastAsia="宋体" w:cs="宋体"/>
        </w:rPr>
      </w:pPr>
      <w:r>
        <w:rPr>
          <w:spacing w:val="-1"/>
        </w:rPr>
        <w:t>6</w:t>
      </w:r>
      <w:r>
        <w:rPr>
          <w:rFonts w:ascii="宋体" w:hAnsi="宋体" w:eastAsia="宋体" w:cs="宋体"/>
          <w:spacing w:val="-1"/>
        </w:rPr>
        <w:t>、对电梯发生的故障等情况，及时进行详细的记录。</w:t>
      </w:r>
    </w:p>
    <w:p w14:paraId="7FF416A7">
      <w:pPr>
        <w:spacing w:before="171" w:line="221" w:lineRule="auto"/>
        <w:ind w:left="115" w:firstLine="432" w:firstLineChars="200"/>
        <w:rPr>
          <w:rFonts w:ascii="宋体" w:hAnsi="宋体" w:eastAsia="宋体" w:cs="宋体"/>
          <w:sz w:val="21"/>
          <w:szCs w:val="21"/>
        </w:rPr>
      </w:pPr>
      <w:r>
        <w:rPr>
          <w:spacing w:val="3"/>
        </w:rPr>
        <w:t>7</w:t>
      </w:r>
      <w:r>
        <w:rPr>
          <w:rFonts w:ascii="宋体" w:hAnsi="宋体" w:eastAsia="宋体" w:cs="宋体"/>
          <w:spacing w:val="3"/>
        </w:rPr>
        <w:t>、发现设备存在安全隐患时，应及时通知采购人负责人，必要</w:t>
      </w:r>
      <w:r>
        <w:rPr>
          <w:rFonts w:ascii="宋体" w:hAnsi="宋体" w:eastAsia="宋体" w:cs="宋体"/>
          <w:spacing w:val="2"/>
        </w:rPr>
        <w:t>时可以停</w:t>
      </w:r>
      <w:r>
        <w:rPr>
          <w:rFonts w:ascii="宋体" w:hAnsi="宋体" w:eastAsia="宋体" w:cs="宋体"/>
          <w:spacing w:val="-2"/>
          <w:sz w:val="21"/>
          <w:szCs w:val="21"/>
        </w:rPr>
        <w:t>止使用。</w:t>
      </w:r>
    </w:p>
    <w:p w14:paraId="11E80323">
      <w:pPr>
        <w:pStyle w:val="19"/>
        <w:spacing w:before="188" w:line="387" w:lineRule="auto"/>
        <w:ind w:left="113" w:right="104" w:firstLine="418"/>
        <w:rPr>
          <w:rFonts w:ascii="宋体" w:hAnsi="宋体" w:eastAsia="宋体" w:cs="宋体"/>
          <w:spacing w:val="-2"/>
        </w:rPr>
      </w:pPr>
      <w:r>
        <w:rPr>
          <w:rFonts w:ascii="宋体" w:hAnsi="宋体" w:eastAsia="宋体" w:cs="宋体"/>
          <w:spacing w:val="-2"/>
        </w:rPr>
        <w:t>8、合同期限内供应商 24 小时为采购人的电梯提供全天候应急处理服务，接到故障通知后，应急抢修和困人解救响应时间在</w:t>
      </w:r>
      <w:r>
        <w:rPr>
          <w:rFonts w:hint="eastAsia" w:ascii="宋体" w:hAnsi="宋体" w:eastAsia="宋体" w:cs="宋体"/>
          <w:spacing w:val="-2"/>
          <w:lang w:val="en-US" w:eastAsia="zh-CN"/>
        </w:rPr>
        <w:t>150</w:t>
      </w:r>
      <w:r>
        <w:rPr>
          <w:rFonts w:ascii="宋体" w:hAnsi="宋体" w:eastAsia="宋体" w:cs="宋体"/>
          <w:spacing w:val="-2"/>
        </w:rPr>
        <w:t>分钟内到达。</w:t>
      </w:r>
    </w:p>
    <w:p w14:paraId="64F02499">
      <w:pPr>
        <w:pStyle w:val="19"/>
        <w:spacing w:before="188" w:line="387" w:lineRule="auto"/>
        <w:ind w:left="113" w:right="104" w:firstLine="418"/>
        <w:rPr>
          <w:rFonts w:ascii="宋体" w:hAnsi="宋体" w:eastAsia="宋体" w:cs="宋体"/>
          <w:spacing w:val="-2"/>
        </w:rPr>
      </w:pPr>
      <w:r>
        <w:rPr>
          <w:rFonts w:ascii="宋体" w:hAnsi="宋体" w:eastAsia="宋体" w:cs="宋体"/>
          <w:spacing w:val="-2"/>
        </w:rPr>
        <w:t>9、建立每台电梯的维保记录， 及时归入电梯安全技术档案，并且至少保存4 年。</w:t>
      </w:r>
    </w:p>
    <w:p w14:paraId="71357F91">
      <w:pPr>
        <w:pStyle w:val="19"/>
        <w:spacing w:before="190" w:line="220" w:lineRule="auto"/>
        <w:ind w:left="549"/>
        <w:rPr>
          <w:rFonts w:ascii="宋体" w:hAnsi="宋体" w:eastAsia="宋体" w:cs="宋体"/>
        </w:rPr>
      </w:pPr>
      <w:r>
        <w:rPr>
          <w:spacing w:val="-2"/>
        </w:rPr>
        <w:t>10</w:t>
      </w:r>
      <w:r>
        <w:rPr>
          <w:rFonts w:ascii="宋体" w:hAnsi="宋体" w:eastAsia="宋体" w:cs="宋体"/>
          <w:spacing w:val="-2"/>
        </w:rPr>
        <w:t>、协助采购人制定电梯安全管理制度和应急救援预案。</w:t>
      </w:r>
    </w:p>
    <w:p w14:paraId="12095FAB">
      <w:pPr>
        <w:pStyle w:val="19"/>
        <w:spacing w:before="189" w:line="220" w:lineRule="auto"/>
        <w:ind w:left="549"/>
        <w:rPr>
          <w:rFonts w:ascii="宋体" w:hAnsi="宋体" w:eastAsia="宋体" w:cs="宋体"/>
        </w:rPr>
      </w:pPr>
      <w:r>
        <w:rPr>
          <w:spacing w:val="-2"/>
        </w:rPr>
        <w:t>11</w:t>
      </w:r>
      <w:r>
        <w:rPr>
          <w:rFonts w:ascii="宋体" w:hAnsi="宋体" w:eastAsia="宋体" w:cs="宋体"/>
          <w:spacing w:val="-2"/>
        </w:rPr>
        <w:t>、供应商现场维护维修人员应当取得相应的《特种设备作业人员证》。</w:t>
      </w:r>
    </w:p>
    <w:p w14:paraId="7809EE1C">
      <w:pPr>
        <w:pStyle w:val="19"/>
        <w:spacing w:before="189" w:line="221" w:lineRule="auto"/>
        <w:ind w:left="549"/>
        <w:rPr>
          <w:rFonts w:ascii="宋体" w:hAnsi="宋体" w:eastAsia="宋体" w:cs="宋体"/>
        </w:rPr>
      </w:pPr>
      <w:r>
        <w:rPr>
          <w:spacing w:val="-1"/>
        </w:rPr>
        <w:t>12</w:t>
      </w:r>
      <w:r>
        <w:rPr>
          <w:rFonts w:ascii="宋体" w:hAnsi="宋体" w:eastAsia="宋体" w:cs="宋体"/>
          <w:spacing w:val="-1"/>
        </w:rPr>
        <w:t>、必须按《电梯维修保养细则》所规定的周期和项目完成保养</w:t>
      </w:r>
      <w:r>
        <w:rPr>
          <w:rFonts w:ascii="宋体" w:hAnsi="宋体" w:eastAsia="宋体" w:cs="宋体"/>
          <w:spacing w:val="-2"/>
        </w:rPr>
        <w:t>工作。</w:t>
      </w:r>
    </w:p>
    <w:p w14:paraId="4EADC32E">
      <w:pPr>
        <w:pStyle w:val="19"/>
        <w:spacing w:before="189" w:line="387" w:lineRule="auto"/>
        <w:ind w:left="115" w:right="147" w:firstLine="433"/>
        <w:rPr>
          <w:spacing w:val="-1"/>
        </w:rPr>
      </w:pPr>
      <w:r>
        <w:rPr>
          <w:spacing w:val="-1"/>
        </w:rPr>
        <w:t>13、保证维保的工作质量，在维保期限内，保障采购人电梯安全、正常运行。</w:t>
      </w:r>
    </w:p>
    <w:p w14:paraId="426555B3">
      <w:pPr>
        <w:pStyle w:val="19"/>
        <w:spacing w:before="189" w:line="387" w:lineRule="auto"/>
        <w:ind w:left="115" w:right="147" w:firstLine="433"/>
        <w:rPr>
          <w:spacing w:val="-1"/>
        </w:rPr>
      </w:pPr>
      <w:r>
        <w:rPr>
          <w:spacing w:val="-1"/>
        </w:rPr>
        <w:t>14、在上述所指保养和紧急修理中， 因供应商人员操作不当造成的元器件、零配件损坏，由供应商负责免费更换、维修。</w:t>
      </w:r>
    </w:p>
    <w:p w14:paraId="5CF5CAE0">
      <w:pPr>
        <w:pStyle w:val="19"/>
        <w:spacing w:before="189" w:line="387" w:lineRule="auto"/>
        <w:ind w:left="115" w:right="147" w:firstLine="433"/>
        <w:rPr>
          <w:rFonts w:ascii="宋体" w:hAnsi="宋体" w:eastAsia="宋体" w:cs="宋体"/>
          <w:sz w:val="21"/>
          <w:szCs w:val="21"/>
        </w:rPr>
      </w:pPr>
      <w:r>
        <w:rPr>
          <w:spacing w:val="-1"/>
        </w:rPr>
        <w:t>15</w:t>
      </w:r>
      <w:r>
        <w:rPr>
          <w:rFonts w:ascii="宋体" w:hAnsi="宋体" w:eastAsia="宋体" w:cs="宋体"/>
          <w:spacing w:val="-1"/>
        </w:rPr>
        <w:t>、当发生火警、水淹或其他危及电梯的情况，供应商应立即停止电梯的</w:t>
      </w:r>
      <w:r>
        <w:rPr>
          <w:rFonts w:ascii="宋体" w:hAnsi="宋体" w:eastAsia="宋体" w:cs="宋体"/>
          <w:spacing w:val="13"/>
        </w:rPr>
        <w:t xml:space="preserve"> </w:t>
      </w:r>
      <w:r>
        <w:rPr>
          <w:rFonts w:ascii="宋体" w:hAnsi="宋体" w:eastAsia="宋体" w:cs="宋体"/>
          <w:spacing w:val="-6"/>
        </w:rPr>
        <w:t>使用， 并将电梯停放到尽量安全的地方； 随后，由供应商对电梯进行全面的安</w:t>
      </w:r>
      <w:r>
        <w:rPr>
          <w:rFonts w:ascii="宋体" w:hAnsi="宋体" w:eastAsia="宋体" w:cs="宋体"/>
          <w:spacing w:val="-6"/>
          <w:sz w:val="21"/>
          <w:szCs w:val="21"/>
        </w:rPr>
        <w:t>全检查，确认合格后方能使用， 供应商将过程详细记录， 及时反馈</w:t>
      </w:r>
      <w:r>
        <w:rPr>
          <w:rFonts w:ascii="宋体" w:hAnsi="宋体" w:eastAsia="宋体" w:cs="宋体"/>
          <w:spacing w:val="-7"/>
          <w:sz w:val="21"/>
          <w:szCs w:val="21"/>
        </w:rPr>
        <w:t>采购人。</w:t>
      </w:r>
    </w:p>
    <w:p w14:paraId="151A57EF">
      <w:pPr>
        <w:pStyle w:val="19"/>
        <w:spacing w:before="189" w:line="220" w:lineRule="auto"/>
        <w:ind w:left="549"/>
        <w:rPr>
          <w:rFonts w:ascii="宋体" w:hAnsi="宋体" w:eastAsia="宋体" w:cs="宋体"/>
        </w:rPr>
      </w:pPr>
      <w:r>
        <w:rPr>
          <w:spacing w:val="-1"/>
        </w:rPr>
        <w:t>16</w:t>
      </w:r>
      <w:r>
        <w:rPr>
          <w:rFonts w:ascii="宋体" w:hAnsi="宋体" w:eastAsia="宋体" w:cs="宋体"/>
          <w:spacing w:val="-1"/>
        </w:rPr>
        <w:t>、供应商自备保养急修所需的仪器、仪表、工具及交通设施；</w:t>
      </w:r>
    </w:p>
    <w:p w14:paraId="0E2EF99E">
      <w:pPr>
        <w:pStyle w:val="19"/>
        <w:spacing w:before="190" w:line="387" w:lineRule="auto"/>
        <w:ind w:left="114" w:right="104" w:firstLine="434"/>
        <w:rPr>
          <w:rFonts w:ascii="宋体" w:hAnsi="宋体" w:eastAsia="宋体" w:cs="宋体"/>
          <w:sz w:val="21"/>
          <w:szCs w:val="21"/>
        </w:rPr>
      </w:pPr>
      <w:r>
        <w:rPr>
          <w:spacing w:val="-4"/>
        </w:rPr>
        <w:t>17</w:t>
      </w:r>
      <w:r>
        <w:rPr>
          <w:rFonts w:ascii="宋体" w:hAnsi="宋体" w:eastAsia="宋体" w:cs="宋体"/>
          <w:spacing w:val="-4"/>
        </w:rPr>
        <w:t>、维保期间，供应商负责落实现场安全防护措施，</w:t>
      </w:r>
      <w:r>
        <w:rPr>
          <w:rFonts w:ascii="宋体" w:hAnsi="宋体" w:eastAsia="宋体" w:cs="宋体"/>
          <w:spacing w:val="-5"/>
        </w:rPr>
        <w:t>保证施工安全，在供</w:t>
      </w:r>
      <w:r>
        <w:rPr>
          <w:rFonts w:ascii="宋体" w:hAnsi="宋体" w:eastAsia="宋体" w:cs="宋体"/>
        </w:rPr>
        <w:t xml:space="preserve"> </w:t>
      </w:r>
      <w:r>
        <w:rPr>
          <w:rFonts w:ascii="宋体" w:hAnsi="宋体" w:eastAsia="宋体" w:cs="宋体"/>
          <w:spacing w:val="8"/>
        </w:rPr>
        <w:t>应商维保人员维修保养电梯过程中所发生的一切伤亡事故均由供应商承担责</w:t>
      </w:r>
      <w:r>
        <w:rPr>
          <w:rFonts w:ascii="宋体" w:hAnsi="宋体" w:eastAsia="宋体" w:cs="宋体"/>
          <w:spacing w:val="-10"/>
          <w:sz w:val="21"/>
          <w:szCs w:val="21"/>
        </w:rPr>
        <w:t>任。</w:t>
      </w:r>
    </w:p>
    <w:p w14:paraId="16BEEE3B">
      <w:pPr>
        <w:pStyle w:val="19"/>
        <w:spacing w:before="190" w:line="387" w:lineRule="auto"/>
        <w:ind w:left="114" w:right="104" w:firstLine="434"/>
        <w:rPr>
          <w:rFonts w:ascii="宋体" w:hAnsi="宋体" w:eastAsia="宋体" w:cs="宋体"/>
          <w:spacing w:val="-4"/>
        </w:rPr>
      </w:pPr>
      <w:r>
        <w:rPr>
          <w:rFonts w:ascii="宋体" w:hAnsi="宋体" w:eastAsia="宋体" w:cs="宋体"/>
          <w:spacing w:val="-4"/>
        </w:rPr>
        <w:t>18、供应商维保人员进入采购人单位，应当遵守采购人的规章制度，维修保养时应在电梯基站门前摆设安全标示牌，以防意外。</w:t>
      </w:r>
    </w:p>
    <w:p w14:paraId="095EC56C">
      <w:pPr>
        <w:pStyle w:val="19"/>
        <w:spacing w:before="189" w:line="220" w:lineRule="auto"/>
        <w:ind w:left="549"/>
        <w:rPr>
          <w:rFonts w:ascii="宋体" w:hAnsi="宋体" w:eastAsia="宋体" w:cs="宋体"/>
        </w:rPr>
      </w:pPr>
      <w:r>
        <w:rPr>
          <w:spacing w:val="-2"/>
        </w:rPr>
        <w:t>19</w:t>
      </w:r>
      <w:r>
        <w:rPr>
          <w:rFonts w:ascii="宋体" w:hAnsi="宋体" w:eastAsia="宋体" w:cs="宋体"/>
          <w:spacing w:val="-2"/>
        </w:rPr>
        <w:t>、供应商维修完毕后，必须清洁工作场地。</w:t>
      </w:r>
    </w:p>
    <w:p w14:paraId="223535CF">
      <w:pPr>
        <w:pStyle w:val="19"/>
        <w:spacing w:before="190" w:line="387" w:lineRule="auto"/>
        <w:ind w:left="114" w:right="104" w:firstLine="434"/>
        <w:rPr>
          <w:rFonts w:ascii="宋体" w:hAnsi="宋体" w:eastAsia="宋体" w:cs="宋体"/>
          <w:spacing w:val="-4"/>
        </w:rPr>
      </w:pPr>
      <w:r>
        <w:rPr>
          <w:rFonts w:ascii="宋体" w:hAnsi="宋体" w:eastAsia="宋体" w:cs="宋体"/>
          <w:spacing w:val="-4"/>
        </w:rPr>
        <w:t>20、供应商每次的保养内容应给采购人签字认可。维护保养期间所需要更换的配件和材料，在维修前供应商应书面报告采购人。</w:t>
      </w:r>
    </w:p>
    <w:p w14:paraId="49D77292">
      <w:pPr>
        <w:pStyle w:val="19"/>
        <w:spacing w:before="190" w:line="387" w:lineRule="auto"/>
        <w:ind w:left="114" w:right="104" w:firstLine="434"/>
        <w:rPr>
          <w:rFonts w:ascii="宋体" w:hAnsi="宋体" w:eastAsia="宋体" w:cs="宋体"/>
          <w:sz w:val="21"/>
          <w:szCs w:val="21"/>
        </w:rPr>
      </w:pPr>
      <w:r>
        <w:rPr>
          <w:rFonts w:ascii="宋体" w:hAnsi="宋体" w:eastAsia="宋体" w:cs="宋体"/>
          <w:spacing w:val="-4"/>
        </w:rPr>
        <w:t xml:space="preserve">21、为了保障电梯正常运行， 供应商有义务对采购人管理人员按双方培训 </w:t>
      </w:r>
      <w:r>
        <w:rPr>
          <w:rFonts w:ascii="宋体" w:hAnsi="宋体" w:eastAsia="宋体" w:cs="宋体"/>
          <w:spacing w:val="-2"/>
        </w:rPr>
        <w:t>计划方案进行培训。内容包括：电梯使用维护说明书、电梯日常</w:t>
      </w:r>
      <w:r>
        <w:rPr>
          <w:rFonts w:ascii="宋体" w:hAnsi="宋体" w:eastAsia="宋体" w:cs="宋体"/>
          <w:spacing w:val="-3"/>
        </w:rPr>
        <w:t>养护保养规范、</w:t>
      </w:r>
      <w:r>
        <w:rPr>
          <w:rFonts w:ascii="宋体" w:hAnsi="宋体" w:eastAsia="宋体" w:cs="宋体"/>
          <w:sz w:val="21"/>
          <w:szCs w:val="21"/>
        </w:rPr>
        <w:t>安全管理电梯钥匙、电梯困人应急救援流程、电梯常见故障的</w:t>
      </w:r>
      <w:r>
        <w:rPr>
          <w:rFonts w:ascii="宋体" w:hAnsi="宋体" w:eastAsia="宋体" w:cs="宋体"/>
          <w:spacing w:val="-1"/>
          <w:sz w:val="21"/>
          <w:szCs w:val="21"/>
        </w:rPr>
        <w:t>检查和排除等。</w:t>
      </w:r>
    </w:p>
    <w:p w14:paraId="3E30A5CC">
      <w:pPr>
        <w:pStyle w:val="19"/>
        <w:spacing w:before="190" w:line="387" w:lineRule="auto"/>
        <w:ind w:left="114" w:right="104" w:firstLine="434"/>
        <w:rPr>
          <w:rFonts w:ascii="宋体" w:hAnsi="宋体" w:eastAsia="宋体" w:cs="宋体"/>
          <w:spacing w:val="-4"/>
        </w:rPr>
      </w:pPr>
      <w:r>
        <w:rPr>
          <w:rFonts w:ascii="宋体" w:hAnsi="宋体" w:eastAsia="宋体" w:cs="宋体"/>
          <w:spacing w:val="-4"/>
        </w:rPr>
        <w:t>22、经质量技术监督局检测认定，因维护保养原因导致人身伤亡或设备损坏、丢失的，由供应商承担全部责任。</w:t>
      </w:r>
    </w:p>
    <w:p w14:paraId="3666FDAC">
      <w:pPr>
        <w:pStyle w:val="19"/>
        <w:spacing w:before="190" w:line="387" w:lineRule="auto"/>
        <w:ind w:left="114" w:right="104" w:firstLine="434"/>
        <w:rPr>
          <w:rFonts w:ascii="宋体" w:hAnsi="宋体" w:eastAsia="宋体" w:cs="宋体"/>
          <w:spacing w:val="-4"/>
        </w:rPr>
      </w:pPr>
      <w:r>
        <w:rPr>
          <w:rFonts w:ascii="宋体" w:hAnsi="宋体" w:eastAsia="宋体" w:cs="宋体"/>
          <w:spacing w:val="-4"/>
        </w:rPr>
        <w:t>23、除采购人原因外，电梯停梯不应超过 24 小时，电梯零部件需要维修或更换时，供应商应提供备件确保电梯能够正常使用。</w:t>
      </w:r>
    </w:p>
    <w:p w14:paraId="02116828">
      <w:pPr>
        <w:pStyle w:val="19"/>
        <w:spacing w:before="190" w:line="387" w:lineRule="auto"/>
        <w:ind w:left="114" w:right="104" w:firstLine="434"/>
        <w:rPr>
          <w:rFonts w:ascii="宋体" w:hAnsi="宋体" w:eastAsia="宋体" w:cs="宋体"/>
          <w:spacing w:val="-4"/>
          <w:lang w:val="en-US" w:eastAsia="zh-CN"/>
        </w:rPr>
      </w:pPr>
      <w:r>
        <w:rPr>
          <w:rFonts w:ascii="宋体" w:hAnsi="宋体" w:eastAsia="宋体" w:cs="宋体"/>
          <w:spacing w:val="-4"/>
          <w:lang w:val="en-US" w:eastAsia="zh-CN"/>
        </w:rPr>
        <w:t>24、建立回访制度，不定期走访或电话回访采购人，包括供应商工作人员服务态度， 应急时间、维修质量、是否按照规定实施维修维护等。</w:t>
      </w:r>
    </w:p>
    <w:p w14:paraId="0C21C5A8">
      <w:pPr>
        <w:pStyle w:val="19"/>
        <w:spacing w:before="190" w:line="387" w:lineRule="auto"/>
        <w:ind w:left="114" w:right="104" w:firstLine="434"/>
        <w:rPr>
          <w:rFonts w:ascii="宋体" w:hAnsi="宋体" w:eastAsia="宋体" w:cs="宋体"/>
          <w:spacing w:val="-4"/>
        </w:rPr>
      </w:pPr>
      <w:r>
        <w:rPr>
          <w:rFonts w:ascii="宋体" w:hAnsi="宋体" w:eastAsia="宋体" w:cs="宋体"/>
          <w:spacing w:val="-4"/>
        </w:rPr>
        <w:t>25、为采购人在有特殊任务和需求的情况下， 经双方协商，供应商提供 24小时守候应急服务。</w:t>
      </w:r>
    </w:p>
    <w:p w14:paraId="2BD8CF3C">
      <w:pPr>
        <w:pStyle w:val="19"/>
        <w:spacing w:before="190" w:line="387" w:lineRule="auto"/>
        <w:ind w:left="114" w:right="104" w:firstLine="417"/>
        <w:rPr>
          <w:rFonts w:ascii="宋体" w:hAnsi="宋体" w:eastAsia="宋体" w:cs="宋体"/>
          <w:sz w:val="21"/>
          <w:szCs w:val="21"/>
        </w:rPr>
      </w:pPr>
      <w:r>
        <w:rPr>
          <w:spacing w:val="1"/>
        </w:rPr>
        <w:t>26</w:t>
      </w:r>
      <w:r>
        <w:rPr>
          <w:rFonts w:ascii="宋体" w:hAnsi="宋体" w:eastAsia="宋体" w:cs="宋体"/>
          <w:spacing w:val="1"/>
        </w:rPr>
        <w:t>、对于技术监督局的电梯年检工作，由供应商协助办理，向该部门申请</w:t>
      </w:r>
      <w:r>
        <w:rPr>
          <w:rFonts w:ascii="宋体" w:hAnsi="宋体" w:eastAsia="宋体" w:cs="宋体"/>
          <w:spacing w:val="6"/>
        </w:rPr>
        <w:t xml:space="preserve"> </w:t>
      </w:r>
      <w:r>
        <w:rPr>
          <w:rFonts w:ascii="宋体" w:hAnsi="宋体" w:eastAsia="宋体" w:cs="宋体"/>
          <w:spacing w:val="2"/>
        </w:rPr>
        <w:t>检测，所需年检费用由采购人支付，如因采购人原因造成年检</w:t>
      </w:r>
      <w:r>
        <w:rPr>
          <w:rFonts w:ascii="宋体" w:hAnsi="宋体" w:eastAsia="宋体" w:cs="宋体"/>
          <w:spacing w:val="1"/>
        </w:rPr>
        <w:t>逾期或因采购人</w:t>
      </w:r>
      <w:r>
        <w:rPr>
          <w:rFonts w:ascii="宋体" w:hAnsi="宋体" w:eastAsia="宋体" w:cs="宋体"/>
        </w:rPr>
        <w:t xml:space="preserve"> </w:t>
      </w:r>
      <w:r>
        <w:rPr>
          <w:rFonts w:ascii="宋体" w:hAnsi="宋体" w:eastAsia="宋体" w:cs="宋体"/>
          <w:spacing w:val="1"/>
        </w:rPr>
        <w:t>年检整改项目未能按规定期限整改完成的，其产生的额外费用由采购</w:t>
      </w:r>
      <w:r>
        <w:rPr>
          <w:rFonts w:ascii="宋体" w:hAnsi="宋体" w:eastAsia="宋体" w:cs="宋体"/>
        </w:rPr>
        <w:t xml:space="preserve">人承担。 </w:t>
      </w:r>
      <w:r>
        <w:rPr>
          <w:rFonts w:ascii="宋体" w:hAnsi="宋体" w:eastAsia="宋体" w:cs="宋体"/>
          <w:spacing w:val="2"/>
        </w:rPr>
        <w:t>如因于供应商原因未能在规定时间内报检的或因供应商年</w:t>
      </w:r>
      <w:r>
        <w:rPr>
          <w:rFonts w:ascii="宋体" w:hAnsi="宋体" w:eastAsia="宋体" w:cs="宋体"/>
          <w:spacing w:val="1"/>
        </w:rPr>
        <w:t>检整改项目未能按规</w:t>
      </w:r>
      <w:r>
        <w:rPr>
          <w:rFonts w:ascii="宋体" w:hAnsi="宋体" w:eastAsia="宋体" w:cs="宋体"/>
          <w:spacing w:val="-5"/>
          <w:sz w:val="21"/>
          <w:szCs w:val="21"/>
        </w:rPr>
        <w:t>定期限整改完成的，</w:t>
      </w:r>
      <w:r>
        <w:rPr>
          <w:rFonts w:ascii="宋体" w:hAnsi="宋体" w:eastAsia="宋体" w:cs="宋体"/>
          <w:spacing w:val="-10"/>
          <w:sz w:val="21"/>
          <w:szCs w:val="21"/>
        </w:rPr>
        <w:t xml:space="preserve"> </w:t>
      </w:r>
      <w:r>
        <w:rPr>
          <w:rFonts w:ascii="宋体" w:hAnsi="宋体" w:eastAsia="宋体" w:cs="宋体"/>
          <w:spacing w:val="-5"/>
          <w:sz w:val="21"/>
          <w:szCs w:val="21"/>
        </w:rPr>
        <w:t>其产生的额外费用由供应商承担。</w:t>
      </w:r>
    </w:p>
    <w:p w14:paraId="2EFA55C9">
      <w:pPr>
        <w:pStyle w:val="19"/>
        <w:spacing w:before="190" w:line="387" w:lineRule="auto"/>
        <w:ind w:left="114" w:right="104" w:firstLine="417"/>
        <w:rPr>
          <w:spacing w:val="1"/>
        </w:rPr>
      </w:pPr>
      <w:r>
        <w:rPr>
          <w:spacing w:val="1"/>
        </w:rPr>
        <w:t>27、应当妥善保管电梯图纸及相关资料，并在合同终止后交给采购人。</w:t>
      </w:r>
    </w:p>
    <w:p w14:paraId="7A0B6FE3">
      <w:pPr>
        <w:pStyle w:val="19"/>
        <w:spacing w:before="190" w:line="387" w:lineRule="auto"/>
        <w:ind w:left="114" w:right="104" w:firstLine="417"/>
        <w:rPr>
          <w:spacing w:val="1"/>
        </w:rPr>
      </w:pPr>
      <w:r>
        <w:rPr>
          <w:rFonts w:hint="eastAsia"/>
          <w:spacing w:val="1"/>
          <w:lang w:val="en-US" w:eastAsia="zh-CN"/>
        </w:rPr>
        <w:t>六、</w:t>
      </w:r>
      <w:r>
        <w:rPr>
          <w:spacing w:val="1"/>
        </w:rPr>
        <w:t xml:space="preserve">采购预算及最高限价：采购预算为每年总价 </w:t>
      </w:r>
      <w:r>
        <w:rPr>
          <w:rFonts w:hint="eastAsia" w:ascii="宋体" w:hAnsi="宋体" w:eastAsia="宋体" w:cs="宋体"/>
          <w:color w:val="auto"/>
          <w:highlight w:val="none"/>
          <w:lang w:val="en-US" w:eastAsia="zh-CN"/>
        </w:rPr>
        <w:t>38400.00</w:t>
      </w:r>
      <w:r>
        <w:rPr>
          <w:spacing w:val="1"/>
        </w:rPr>
        <w:t xml:space="preserve"> 元，最高限价为每台电梯每月为含税 4</w:t>
      </w:r>
      <w:r>
        <w:rPr>
          <w:rFonts w:hint="eastAsia" w:eastAsia="宋体"/>
          <w:spacing w:val="1"/>
          <w:lang w:val="en-US" w:eastAsia="zh-CN"/>
        </w:rPr>
        <w:t>0</w:t>
      </w:r>
      <w:r>
        <w:rPr>
          <w:spacing w:val="1"/>
        </w:rPr>
        <w:t>0 元。超出最高限价则投标无效。</w:t>
      </w:r>
    </w:p>
    <w:p w14:paraId="334B950A">
      <w:pPr>
        <w:pStyle w:val="19"/>
        <w:spacing w:before="190" w:line="387" w:lineRule="auto"/>
        <w:ind w:left="114" w:right="104" w:firstLine="417"/>
        <w:rPr>
          <w:rFonts w:hint="default" w:eastAsia="宋体"/>
          <w:spacing w:val="1"/>
          <w:lang w:val="en-US" w:eastAsia="zh-CN"/>
        </w:rPr>
      </w:pPr>
      <w:r>
        <w:rPr>
          <w:rFonts w:hint="eastAsia" w:eastAsia="宋体"/>
          <w:spacing w:val="1"/>
          <w:lang w:val="en-US" w:eastAsia="zh-CN"/>
        </w:rPr>
        <w:t>七、零部件维修更换要求：</w:t>
      </w:r>
    </w:p>
    <w:p w14:paraId="44C1DEB1">
      <w:pPr>
        <w:pStyle w:val="19"/>
        <w:spacing w:before="194" w:line="387" w:lineRule="auto"/>
        <w:ind w:left="112" w:right="104" w:firstLine="425"/>
        <w:rPr>
          <w:rFonts w:ascii="宋体" w:hAnsi="宋体" w:eastAsia="宋体" w:cs="宋体"/>
          <w:spacing w:val="-1"/>
        </w:rPr>
      </w:pPr>
      <w:r>
        <w:rPr>
          <w:rFonts w:ascii="宋体" w:hAnsi="宋体" w:eastAsia="宋体" w:cs="宋体"/>
          <w:spacing w:val="2"/>
        </w:rPr>
        <w:t>维保过程中发现故障的应以不更换配件的维</w:t>
      </w:r>
      <w:r>
        <w:rPr>
          <w:rFonts w:ascii="宋体" w:hAnsi="宋体" w:eastAsia="宋体" w:cs="宋体"/>
          <w:spacing w:val="1"/>
        </w:rPr>
        <w:t>修为原则，只有在不更换配件</w:t>
      </w:r>
      <w:r>
        <w:rPr>
          <w:rFonts w:ascii="宋体" w:hAnsi="宋体" w:eastAsia="宋体" w:cs="宋体"/>
          <w:spacing w:val="2"/>
        </w:rPr>
        <w:t>无法修复故障或不更换配件维修不符合质量安全标准、</w:t>
      </w:r>
      <w:r>
        <w:rPr>
          <w:rFonts w:ascii="宋体" w:hAnsi="宋体" w:eastAsia="宋体" w:cs="宋体"/>
          <w:spacing w:val="1"/>
        </w:rPr>
        <w:t>不更换配件修复不经济</w:t>
      </w:r>
      <w:r>
        <w:rPr>
          <w:rFonts w:ascii="宋体" w:hAnsi="宋体" w:eastAsia="宋体" w:cs="宋体"/>
        </w:rPr>
        <w:t xml:space="preserve"> </w:t>
      </w:r>
      <w:r>
        <w:rPr>
          <w:rFonts w:ascii="宋体" w:hAnsi="宋体" w:eastAsia="宋体" w:cs="宋体"/>
          <w:spacing w:val="2"/>
        </w:rPr>
        <w:t>的情况下方能选择更换；更换配件时以更换最小配件单</w:t>
      </w:r>
      <w:r>
        <w:rPr>
          <w:rFonts w:ascii="宋体" w:hAnsi="宋体" w:eastAsia="宋体" w:cs="宋体"/>
          <w:spacing w:val="1"/>
        </w:rPr>
        <w:t>位修复故障为原则，能换最小单位配件修复故障的不得整体更换。禁止不经维修直接更换配件、小件</w:t>
      </w:r>
      <w:r>
        <w:rPr>
          <w:rFonts w:ascii="宋体" w:hAnsi="宋体" w:eastAsia="宋体" w:cs="宋体"/>
          <w:spacing w:val="15"/>
        </w:rPr>
        <w:t xml:space="preserve"> </w:t>
      </w:r>
      <w:r>
        <w:rPr>
          <w:rFonts w:ascii="宋体" w:hAnsi="宋体" w:eastAsia="宋体" w:cs="宋体"/>
          <w:spacing w:val="2"/>
        </w:rPr>
        <w:t>大修小件大换、无必要性更换配件等情况发生。维保过</w:t>
      </w:r>
      <w:r>
        <w:rPr>
          <w:rFonts w:ascii="宋体" w:hAnsi="宋体" w:eastAsia="宋体" w:cs="宋体"/>
          <w:spacing w:val="1"/>
        </w:rPr>
        <w:t>程中需要更换配件，供应商应事先将维修方案及金额预算报采购人审核并取得采购人书面同意，但按</w:t>
      </w:r>
      <w:r>
        <w:rPr>
          <w:rFonts w:ascii="宋体" w:hAnsi="宋体" w:eastAsia="宋体" w:cs="宋体"/>
          <w:spacing w:val="2"/>
        </w:rPr>
        <w:t>预定规程和维保计划更换日常耗材和供应商在紧急情况</w:t>
      </w:r>
      <w:r>
        <w:rPr>
          <w:rFonts w:ascii="宋体" w:hAnsi="宋体" w:eastAsia="宋体" w:cs="宋体"/>
          <w:spacing w:val="1"/>
        </w:rPr>
        <w:t>下为避免采购人重大利</w:t>
      </w:r>
      <w:r>
        <w:rPr>
          <w:rFonts w:ascii="宋体" w:hAnsi="宋体" w:eastAsia="宋体" w:cs="宋体"/>
        </w:rPr>
        <w:t xml:space="preserve"> </w:t>
      </w:r>
      <w:r>
        <w:rPr>
          <w:rFonts w:ascii="宋体" w:hAnsi="宋体" w:eastAsia="宋体" w:cs="宋体"/>
          <w:spacing w:val="2"/>
        </w:rPr>
        <w:t>益受损而采取应急措施的除外。维保过程中需要更换的配件采</w:t>
      </w:r>
      <w:r>
        <w:rPr>
          <w:rFonts w:ascii="宋体" w:hAnsi="宋体" w:eastAsia="宋体" w:cs="宋体"/>
          <w:spacing w:val="1"/>
        </w:rPr>
        <w:t>购人有权自主购</w:t>
      </w:r>
      <w:r>
        <w:rPr>
          <w:rFonts w:ascii="宋体" w:hAnsi="宋体" w:eastAsia="宋体" w:cs="宋体"/>
        </w:rPr>
        <w:t xml:space="preserve"> 买，采购人若委托供应商购买则采购人按配件成本价（含税）支付给供应商，</w:t>
      </w:r>
      <w:r>
        <w:rPr>
          <w:rFonts w:ascii="宋体" w:hAnsi="宋体" w:eastAsia="宋体" w:cs="宋体"/>
          <w:spacing w:val="10"/>
        </w:rPr>
        <w:t xml:space="preserve"> </w:t>
      </w:r>
      <w:r>
        <w:rPr>
          <w:rFonts w:ascii="宋体" w:hAnsi="宋体" w:eastAsia="宋体" w:cs="宋体"/>
          <w:spacing w:val="-3"/>
        </w:rPr>
        <w:t>同时供应商对所提供的配件承担</w:t>
      </w:r>
      <w:r>
        <w:rPr>
          <w:rFonts w:ascii="宋体" w:hAnsi="宋体" w:eastAsia="宋体" w:cs="宋体"/>
          <w:spacing w:val="-16"/>
        </w:rPr>
        <w:t xml:space="preserve"> </w:t>
      </w:r>
      <w:r>
        <w:rPr>
          <w:spacing w:val="-3"/>
        </w:rPr>
        <w:t xml:space="preserve">12 </w:t>
      </w:r>
      <w:r>
        <w:rPr>
          <w:rFonts w:ascii="宋体" w:hAnsi="宋体" w:eastAsia="宋体" w:cs="宋体"/>
          <w:spacing w:val="-3"/>
        </w:rPr>
        <w:t>个月的质保责任。供应商维修更换零配件后</w:t>
      </w:r>
      <w:r>
        <w:rPr>
          <w:rFonts w:ascii="宋体" w:hAnsi="宋体" w:eastAsia="宋体" w:cs="宋体"/>
        </w:rPr>
        <w:t xml:space="preserve"> </w:t>
      </w:r>
      <w:r>
        <w:rPr>
          <w:rFonts w:ascii="宋体" w:hAnsi="宋体" w:eastAsia="宋体" w:cs="宋体"/>
          <w:spacing w:val="2"/>
        </w:rPr>
        <w:t>应报告采购人并经采购人专门管理人员检查并书面确认</w:t>
      </w:r>
      <w:r>
        <w:rPr>
          <w:rFonts w:ascii="宋体" w:hAnsi="宋体" w:eastAsia="宋体" w:cs="宋体"/>
          <w:spacing w:val="1"/>
        </w:rPr>
        <w:t>。供应商每月及时统计</w:t>
      </w:r>
      <w:r>
        <w:rPr>
          <w:rFonts w:ascii="宋体" w:hAnsi="宋体" w:eastAsia="宋体" w:cs="宋体"/>
        </w:rPr>
        <w:t xml:space="preserve"> </w:t>
      </w:r>
      <w:r>
        <w:rPr>
          <w:rFonts w:ascii="宋体" w:hAnsi="宋体" w:eastAsia="宋体" w:cs="宋体"/>
          <w:spacing w:val="2"/>
        </w:rPr>
        <w:t>上报采购人管理部门主管。每月将维保更换的配件的明</w:t>
      </w:r>
      <w:r>
        <w:rPr>
          <w:rFonts w:ascii="宋体" w:hAnsi="宋体" w:eastAsia="宋体" w:cs="宋体"/>
          <w:spacing w:val="1"/>
        </w:rPr>
        <w:t>细及价格汇总后上报采</w:t>
      </w:r>
      <w:r>
        <w:rPr>
          <w:rFonts w:ascii="宋体" w:hAnsi="宋体" w:eastAsia="宋体" w:cs="宋体"/>
        </w:rPr>
        <w:t xml:space="preserve"> </w:t>
      </w:r>
      <w:r>
        <w:rPr>
          <w:rFonts w:ascii="宋体" w:hAnsi="宋体" w:eastAsia="宋体" w:cs="宋体"/>
          <w:spacing w:val="-6"/>
        </w:rPr>
        <w:t>购人， 经采购人确认配件更换及价格后支付，</w:t>
      </w:r>
      <w:r>
        <w:rPr>
          <w:rFonts w:ascii="宋体" w:hAnsi="宋体" w:eastAsia="宋体" w:cs="宋体"/>
          <w:spacing w:val="-28"/>
        </w:rPr>
        <w:t xml:space="preserve"> </w:t>
      </w:r>
      <w:r>
        <w:rPr>
          <w:rFonts w:ascii="宋体" w:hAnsi="宋体" w:eastAsia="宋体" w:cs="宋体"/>
          <w:spacing w:val="-6"/>
        </w:rPr>
        <w:t>供应商对所提供的配件有质保</w:t>
      </w:r>
      <w:r>
        <w:rPr>
          <w:rFonts w:ascii="宋体" w:hAnsi="宋体" w:eastAsia="宋体" w:cs="宋体"/>
          <w:spacing w:val="-32"/>
        </w:rPr>
        <w:t xml:space="preserve"> </w:t>
      </w:r>
      <w:r>
        <w:rPr>
          <w:spacing w:val="-6"/>
        </w:rPr>
        <w:t>12</w:t>
      </w:r>
      <w:r>
        <w:rPr>
          <w:rFonts w:ascii="宋体" w:hAnsi="宋体" w:eastAsia="宋体" w:cs="宋体"/>
          <w:spacing w:val="-1"/>
        </w:rPr>
        <w:t>个月的责任，配件本身的质保期大于</w:t>
      </w:r>
      <w:r>
        <w:rPr>
          <w:rFonts w:ascii="宋体" w:hAnsi="宋体" w:eastAsia="宋体" w:cs="宋体"/>
          <w:spacing w:val="-30"/>
        </w:rPr>
        <w:t xml:space="preserve"> </w:t>
      </w:r>
      <w:r>
        <w:rPr>
          <w:spacing w:val="-1"/>
        </w:rPr>
        <w:t xml:space="preserve">12 </w:t>
      </w:r>
      <w:r>
        <w:rPr>
          <w:rFonts w:ascii="宋体" w:hAnsi="宋体" w:eastAsia="宋体" w:cs="宋体"/>
          <w:spacing w:val="-1"/>
        </w:rPr>
        <w:t>个月的按照配件保质期执行。</w:t>
      </w:r>
    </w:p>
    <w:p w14:paraId="3C37F27E">
      <w:pPr>
        <w:pStyle w:val="19"/>
        <w:spacing w:before="172" w:line="387" w:lineRule="auto"/>
        <w:ind w:left="112" w:right="104" w:firstLine="424"/>
        <w:jc w:val="both"/>
        <w:rPr>
          <w:rFonts w:hint="eastAsia" w:eastAsia="宋体"/>
          <w:color w:val="auto"/>
          <w:sz w:val="24"/>
          <w:szCs w:val="24"/>
          <w:highlight w:val="none"/>
          <w:lang w:val="en-US" w:eastAsia="zh-CN"/>
        </w:rPr>
        <w:sectPr>
          <w:pgSz w:w="11906" w:h="16838"/>
          <w:pgMar w:top="1134" w:right="1134" w:bottom="1134" w:left="1134" w:header="851" w:footer="992" w:gutter="0"/>
          <w:cols w:space="425" w:num="1"/>
          <w:docGrid w:type="lines" w:linePitch="312" w:charSpace="0"/>
        </w:sectPr>
      </w:pPr>
      <w:r>
        <w:rPr>
          <w:rFonts w:ascii="宋体" w:hAnsi="宋体" w:eastAsia="宋体" w:cs="宋体"/>
          <w:spacing w:val="-4"/>
        </w:rPr>
        <w:t>备注： 更换零部件由采购人负责购买或由采</w:t>
      </w:r>
      <w:r>
        <w:rPr>
          <w:rFonts w:ascii="宋体" w:hAnsi="宋体" w:eastAsia="宋体" w:cs="宋体"/>
          <w:spacing w:val="-1"/>
        </w:rPr>
        <w:t>购人委托维保供应商购买的，维保供应商均免费更换（</w:t>
      </w:r>
      <w:r>
        <w:rPr>
          <w:rFonts w:ascii="宋体" w:hAnsi="宋体" w:eastAsia="宋体" w:cs="宋体"/>
          <w:spacing w:val="-2"/>
        </w:rPr>
        <w:t>中、大修除外， 中、大</w:t>
      </w:r>
      <w:r>
        <w:rPr>
          <w:rFonts w:ascii="宋体" w:hAnsi="宋体" w:eastAsia="宋体" w:cs="宋体"/>
        </w:rPr>
        <w:t xml:space="preserve"> </w:t>
      </w:r>
      <w:r>
        <w:rPr>
          <w:rFonts w:ascii="宋体" w:hAnsi="宋体" w:eastAsia="宋体" w:cs="宋体"/>
          <w:spacing w:val="2"/>
        </w:rPr>
        <w:t>修更换配件的人工费由采购人与维保供应商协商。电梯</w:t>
      </w:r>
      <w:r>
        <w:rPr>
          <w:rFonts w:ascii="宋体" w:hAnsi="宋体" w:eastAsia="宋体" w:cs="宋体"/>
          <w:spacing w:val="1"/>
        </w:rPr>
        <w:t>的中、大修及涉及曳引</w:t>
      </w:r>
      <w:r>
        <w:rPr>
          <w:rFonts w:ascii="宋体" w:hAnsi="宋体" w:eastAsia="宋体" w:cs="宋体"/>
          <w:spacing w:val="-3"/>
          <w:sz w:val="21"/>
          <w:szCs w:val="21"/>
        </w:rPr>
        <w:t>机、控制柜、轿厢、钢丝绳、导轨系统的拆卸检查</w:t>
      </w:r>
      <w:r>
        <w:rPr>
          <w:rFonts w:ascii="宋体" w:hAnsi="宋体" w:eastAsia="宋体" w:cs="宋体"/>
          <w:spacing w:val="-4"/>
          <w:sz w:val="21"/>
          <w:szCs w:val="21"/>
        </w:rPr>
        <w:t>维修</w:t>
      </w:r>
      <w:r>
        <w:rPr>
          <w:rFonts w:hint="eastAsia" w:ascii="宋体" w:hAnsi="宋体" w:eastAsia="宋体" w:cs="宋体"/>
          <w:spacing w:val="-4"/>
          <w:sz w:val="21"/>
          <w:szCs w:val="21"/>
          <w:lang w:eastAsia="zh-CN"/>
        </w:rPr>
        <w:t>。</w:t>
      </w:r>
    </w:p>
    <w:p w14:paraId="43D2E70C">
      <w:pPr>
        <w:tabs>
          <w:tab w:val="left" w:pos="1324"/>
        </w:tabs>
        <w:bidi w:val="0"/>
        <w:jc w:val="left"/>
        <w:rPr>
          <w:rFonts w:hint="eastAsia"/>
          <w:lang w:val="en-US"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金山简黑体">
    <w:altName w:val="宋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xZDUxZTE0YzNiM2ZkZjMzNzQ4YTdlNjhmZmU2MTEifQ=="/>
  </w:docVars>
  <w:rsids>
    <w:rsidRoot w:val="4EC639D5"/>
    <w:rsid w:val="00356296"/>
    <w:rsid w:val="00606382"/>
    <w:rsid w:val="014274C7"/>
    <w:rsid w:val="01654907"/>
    <w:rsid w:val="02CC4175"/>
    <w:rsid w:val="02E53A13"/>
    <w:rsid w:val="02EF3335"/>
    <w:rsid w:val="03580413"/>
    <w:rsid w:val="038B2BBD"/>
    <w:rsid w:val="03D73F83"/>
    <w:rsid w:val="0428387D"/>
    <w:rsid w:val="042D1A00"/>
    <w:rsid w:val="04324D98"/>
    <w:rsid w:val="049B394B"/>
    <w:rsid w:val="069267C4"/>
    <w:rsid w:val="07E30E01"/>
    <w:rsid w:val="07E61381"/>
    <w:rsid w:val="07F058E4"/>
    <w:rsid w:val="08D02838"/>
    <w:rsid w:val="08EC17F2"/>
    <w:rsid w:val="08EF562D"/>
    <w:rsid w:val="09AA4BB2"/>
    <w:rsid w:val="0A760F80"/>
    <w:rsid w:val="0A9F2492"/>
    <w:rsid w:val="0BBB0870"/>
    <w:rsid w:val="0C110E01"/>
    <w:rsid w:val="0C2E0332"/>
    <w:rsid w:val="0C9B37F4"/>
    <w:rsid w:val="0CF346A2"/>
    <w:rsid w:val="0D4E2740"/>
    <w:rsid w:val="0DC548AA"/>
    <w:rsid w:val="0E5F4212"/>
    <w:rsid w:val="0F80182A"/>
    <w:rsid w:val="1117485A"/>
    <w:rsid w:val="1118492F"/>
    <w:rsid w:val="11197E21"/>
    <w:rsid w:val="125D195A"/>
    <w:rsid w:val="1343188B"/>
    <w:rsid w:val="13434D15"/>
    <w:rsid w:val="13A83C3C"/>
    <w:rsid w:val="140F3969"/>
    <w:rsid w:val="142E5388"/>
    <w:rsid w:val="143862A0"/>
    <w:rsid w:val="15023F9A"/>
    <w:rsid w:val="153D15F1"/>
    <w:rsid w:val="15A40820"/>
    <w:rsid w:val="15DD570D"/>
    <w:rsid w:val="15FF3D3A"/>
    <w:rsid w:val="16B15656"/>
    <w:rsid w:val="16E77E87"/>
    <w:rsid w:val="177E422B"/>
    <w:rsid w:val="17A335DD"/>
    <w:rsid w:val="17E83006"/>
    <w:rsid w:val="17EC22B4"/>
    <w:rsid w:val="183623F8"/>
    <w:rsid w:val="18B5408E"/>
    <w:rsid w:val="19252FC2"/>
    <w:rsid w:val="195F26F0"/>
    <w:rsid w:val="19B62BC4"/>
    <w:rsid w:val="19CE57D5"/>
    <w:rsid w:val="1A2553F4"/>
    <w:rsid w:val="1A560157"/>
    <w:rsid w:val="1B016691"/>
    <w:rsid w:val="1B0C7DA1"/>
    <w:rsid w:val="1B1E58FE"/>
    <w:rsid w:val="1BEF308C"/>
    <w:rsid w:val="1C33119E"/>
    <w:rsid w:val="1CB52FB7"/>
    <w:rsid w:val="1CCA5B65"/>
    <w:rsid w:val="1CCD1496"/>
    <w:rsid w:val="1D860AAC"/>
    <w:rsid w:val="1DDB1156"/>
    <w:rsid w:val="1E111092"/>
    <w:rsid w:val="1FD50222"/>
    <w:rsid w:val="203B0065"/>
    <w:rsid w:val="20E77635"/>
    <w:rsid w:val="21575A6D"/>
    <w:rsid w:val="2304572A"/>
    <w:rsid w:val="23057998"/>
    <w:rsid w:val="235A2EF8"/>
    <w:rsid w:val="23BF6834"/>
    <w:rsid w:val="23D83E1C"/>
    <w:rsid w:val="24713341"/>
    <w:rsid w:val="247567C7"/>
    <w:rsid w:val="25216A19"/>
    <w:rsid w:val="25C053FB"/>
    <w:rsid w:val="272A5E0B"/>
    <w:rsid w:val="27DA0BCB"/>
    <w:rsid w:val="28C63386"/>
    <w:rsid w:val="29000204"/>
    <w:rsid w:val="29123820"/>
    <w:rsid w:val="29916C17"/>
    <w:rsid w:val="2A44045E"/>
    <w:rsid w:val="2A581CFB"/>
    <w:rsid w:val="2AD42201"/>
    <w:rsid w:val="2BCD7D54"/>
    <w:rsid w:val="2C35005E"/>
    <w:rsid w:val="2C7277EA"/>
    <w:rsid w:val="2CB05103"/>
    <w:rsid w:val="2D0064DB"/>
    <w:rsid w:val="2D2616E4"/>
    <w:rsid w:val="2D346567"/>
    <w:rsid w:val="2D7E7397"/>
    <w:rsid w:val="2DC22983"/>
    <w:rsid w:val="2E9C0C21"/>
    <w:rsid w:val="2FEA1019"/>
    <w:rsid w:val="30434DA6"/>
    <w:rsid w:val="3143340B"/>
    <w:rsid w:val="31A649C7"/>
    <w:rsid w:val="325972F6"/>
    <w:rsid w:val="32B47D1A"/>
    <w:rsid w:val="32BF0680"/>
    <w:rsid w:val="32C55116"/>
    <w:rsid w:val="343A026E"/>
    <w:rsid w:val="35284446"/>
    <w:rsid w:val="35490F95"/>
    <w:rsid w:val="35F43807"/>
    <w:rsid w:val="362426C4"/>
    <w:rsid w:val="36452080"/>
    <w:rsid w:val="36F1483E"/>
    <w:rsid w:val="37067485"/>
    <w:rsid w:val="373F280B"/>
    <w:rsid w:val="385F35FE"/>
    <w:rsid w:val="394115C9"/>
    <w:rsid w:val="39412409"/>
    <w:rsid w:val="39480AA7"/>
    <w:rsid w:val="39734C52"/>
    <w:rsid w:val="39847F43"/>
    <w:rsid w:val="3B28394A"/>
    <w:rsid w:val="3B766464"/>
    <w:rsid w:val="3BAD726C"/>
    <w:rsid w:val="3BDC0F23"/>
    <w:rsid w:val="3C5C6FB1"/>
    <w:rsid w:val="3D055862"/>
    <w:rsid w:val="3D342B53"/>
    <w:rsid w:val="3E344619"/>
    <w:rsid w:val="3F075320"/>
    <w:rsid w:val="3F5672F7"/>
    <w:rsid w:val="40980764"/>
    <w:rsid w:val="4111111F"/>
    <w:rsid w:val="4121604D"/>
    <w:rsid w:val="41D10FA4"/>
    <w:rsid w:val="41D35EF7"/>
    <w:rsid w:val="42035411"/>
    <w:rsid w:val="421F6600"/>
    <w:rsid w:val="42593FC9"/>
    <w:rsid w:val="43612AF4"/>
    <w:rsid w:val="436D1466"/>
    <w:rsid w:val="437407CE"/>
    <w:rsid w:val="4442623C"/>
    <w:rsid w:val="444A6039"/>
    <w:rsid w:val="4465462D"/>
    <w:rsid w:val="446F15A4"/>
    <w:rsid w:val="44775260"/>
    <w:rsid w:val="44A14F52"/>
    <w:rsid w:val="456D0411"/>
    <w:rsid w:val="458D460F"/>
    <w:rsid w:val="45C60C7B"/>
    <w:rsid w:val="46C74C94"/>
    <w:rsid w:val="47094AB7"/>
    <w:rsid w:val="48AB704E"/>
    <w:rsid w:val="490556B6"/>
    <w:rsid w:val="49605D03"/>
    <w:rsid w:val="496F3B82"/>
    <w:rsid w:val="49961C61"/>
    <w:rsid w:val="49BD7254"/>
    <w:rsid w:val="4A7867E7"/>
    <w:rsid w:val="4AD85D29"/>
    <w:rsid w:val="4ADC6717"/>
    <w:rsid w:val="4B210044"/>
    <w:rsid w:val="4B4C3024"/>
    <w:rsid w:val="4BA34DE2"/>
    <w:rsid w:val="4C282DC4"/>
    <w:rsid w:val="4C657040"/>
    <w:rsid w:val="4CAF7D90"/>
    <w:rsid w:val="4CF96DEA"/>
    <w:rsid w:val="4D55622D"/>
    <w:rsid w:val="4DCB5ABD"/>
    <w:rsid w:val="4DFC6FCD"/>
    <w:rsid w:val="4DFF0EC9"/>
    <w:rsid w:val="4E983952"/>
    <w:rsid w:val="4EC639D5"/>
    <w:rsid w:val="4ECE1B97"/>
    <w:rsid w:val="4ECF3EEA"/>
    <w:rsid w:val="4F58664C"/>
    <w:rsid w:val="4F804900"/>
    <w:rsid w:val="4FD51F4E"/>
    <w:rsid w:val="4FD60ED8"/>
    <w:rsid w:val="50F04109"/>
    <w:rsid w:val="51477D68"/>
    <w:rsid w:val="514C17F0"/>
    <w:rsid w:val="51ED31A1"/>
    <w:rsid w:val="51FD2AD7"/>
    <w:rsid w:val="52481AAA"/>
    <w:rsid w:val="53233008"/>
    <w:rsid w:val="537217CC"/>
    <w:rsid w:val="540D122C"/>
    <w:rsid w:val="54BB19EC"/>
    <w:rsid w:val="54E24C35"/>
    <w:rsid w:val="55880366"/>
    <w:rsid w:val="56085A31"/>
    <w:rsid w:val="57050505"/>
    <w:rsid w:val="59AC1176"/>
    <w:rsid w:val="5A0A6AC2"/>
    <w:rsid w:val="5BA40E7C"/>
    <w:rsid w:val="5BE06C22"/>
    <w:rsid w:val="5C687448"/>
    <w:rsid w:val="5CD7045C"/>
    <w:rsid w:val="5CE1534A"/>
    <w:rsid w:val="5DF53F8A"/>
    <w:rsid w:val="5E3D2585"/>
    <w:rsid w:val="5E6261E1"/>
    <w:rsid w:val="5EBA299E"/>
    <w:rsid w:val="600F2619"/>
    <w:rsid w:val="605078B8"/>
    <w:rsid w:val="60B92201"/>
    <w:rsid w:val="61DF055B"/>
    <w:rsid w:val="62A21233"/>
    <w:rsid w:val="62BB4C28"/>
    <w:rsid w:val="62FC1A5B"/>
    <w:rsid w:val="631C489A"/>
    <w:rsid w:val="63394BF2"/>
    <w:rsid w:val="63742EA4"/>
    <w:rsid w:val="63A472AB"/>
    <w:rsid w:val="63BA65AA"/>
    <w:rsid w:val="642C22E6"/>
    <w:rsid w:val="64384C1B"/>
    <w:rsid w:val="64AC7628"/>
    <w:rsid w:val="64F52747"/>
    <w:rsid w:val="65BE77AB"/>
    <w:rsid w:val="665F6122"/>
    <w:rsid w:val="666653FA"/>
    <w:rsid w:val="67737C25"/>
    <w:rsid w:val="69A44FF0"/>
    <w:rsid w:val="69C04760"/>
    <w:rsid w:val="6B5900DD"/>
    <w:rsid w:val="6C6609F5"/>
    <w:rsid w:val="6C924140"/>
    <w:rsid w:val="6DEF2DBB"/>
    <w:rsid w:val="6E093E62"/>
    <w:rsid w:val="6E2A743A"/>
    <w:rsid w:val="6E347A1C"/>
    <w:rsid w:val="6E556AFA"/>
    <w:rsid w:val="6F441570"/>
    <w:rsid w:val="6F610C9B"/>
    <w:rsid w:val="70F5142F"/>
    <w:rsid w:val="715527BC"/>
    <w:rsid w:val="71754930"/>
    <w:rsid w:val="717C2629"/>
    <w:rsid w:val="71871BC8"/>
    <w:rsid w:val="718D37CA"/>
    <w:rsid w:val="71B23321"/>
    <w:rsid w:val="72D71F33"/>
    <w:rsid w:val="74640AAD"/>
    <w:rsid w:val="74EB469F"/>
    <w:rsid w:val="75A02782"/>
    <w:rsid w:val="762B73A9"/>
    <w:rsid w:val="763B2626"/>
    <w:rsid w:val="76FA17A8"/>
    <w:rsid w:val="776B6632"/>
    <w:rsid w:val="78E32EB7"/>
    <w:rsid w:val="79283B6D"/>
    <w:rsid w:val="79E37821"/>
    <w:rsid w:val="7A6D6014"/>
    <w:rsid w:val="7C2079EC"/>
    <w:rsid w:val="7C862607"/>
    <w:rsid w:val="7CB70FD0"/>
    <w:rsid w:val="7CF16C56"/>
    <w:rsid w:val="7D0246F3"/>
    <w:rsid w:val="7D834EE4"/>
    <w:rsid w:val="7F315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6" w:lineRule="auto"/>
      <w:outlineLvl w:val="1"/>
    </w:pPr>
    <w:rPr>
      <w:rFonts w:ascii="Cambria" w:hAnsi="Cambria"/>
      <w:b/>
      <w:bCs/>
      <w:sz w:val="32"/>
      <w:szCs w:val="32"/>
    </w:rPr>
  </w:style>
  <w:style w:type="character" w:default="1" w:styleId="12">
    <w:name w:val="Default Paragraph Font"/>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1"/>
    <w:autoRedefine/>
    <w:qFormat/>
    <w:uiPriority w:val="0"/>
    <w:rPr>
      <w:rFonts w:ascii="金山简黑体" w:hAnsi="Courier New" w:eastAsia="金山简黑体"/>
      <w:b/>
      <w:spacing w:val="-8"/>
      <w:sz w:val="44"/>
      <w:szCs w:val="20"/>
    </w:rPr>
  </w:style>
  <w:style w:type="paragraph" w:styleId="5">
    <w:name w:val="Plain Text"/>
    <w:basedOn w:val="1"/>
    <w:next w:val="1"/>
    <w:autoRedefine/>
    <w:qFormat/>
    <w:uiPriority w:val="0"/>
    <w:rPr>
      <w:rFonts w:ascii="宋体" w:hAnsi="Courier New"/>
      <w:szCs w:val="20"/>
    </w:rPr>
  </w:style>
  <w:style w:type="paragraph" w:styleId="6">
    <w:name w:val="footer"/>
    <w:basedOn w:val="1"/>
    <w:autoRedefine/>
    <w:qFormat/>
    <w:uiPriority w:val="0"/>
    <w:pPr>
      <w:tabs>
        <w:tab w:val="center" w:pos="4153"/>
        <w:tab w:val="right" w:pos="8306"/>
      </w:tabs>
      <w:snapToGrid w:val="0"/>
      <w:jc w:val="left"/>
    </w:pPr>
    <w:rPr>
      <w:rFonts w:eastAsia="Calibri" w:cs="Times New Roman"/>
      <w:kern w:val="0"/>
      <w:sz w:val="18"/>
      <w:szCs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Title"/>
    <w:basedOn w:val="1"/>
    <w:autoRedefine/>
    <w:qFormat/>
    <w:uiPriority w:val="0"/>
    <w:pPr>
      <w:spacing w:before="240" w:beforeLines="0" w:beforeAutospacing="0" w:after="60" w:afterLines="0" w:afterAutospacing="0"/>
      <w:jc w:val="center"/>
      <w:outlineLvl w:val="0"/>
    </w:pPr>
    <w:rPr>
      <w:rFonts w:ascii="Arial" w:hAnsi="Arial"/>
      <w:b/>
      <w:sz w:val="32"/>
    </w:rPr>
  </w:style>
  <w:style w:type="paragraph" w:styleId="9">
    <w:name w:val="Body Text First Indent"/>
    <w:basedOn w:val="4"/>
    <w:autoRedefine/>
    <w:qFormat/>
    <w:uiPriority w:val="0"/>
    <w:pPr>
      <w:spacing w:after="120" w:line="240" w:lineRule="auto"/>
      <w:ind w:firstLine="420" w:firstLineChars="100"/>
    </w:pPr>
    <w:rPr>
      <w:kern w:val="2"/>
      <w:sz w:val="21"/>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paragraph" w:customStyle="1" w:styleId="14">
    <w:name w:val="表格文字"/>
    <w:basedOn w:val="1"/>
    <w:autoRedefine/>
    <w:qFormat/>
    <w:uiPriority w:val="0"/>
    <w:pPr>
      <w:adjustRightInd w:val="0"/>
      <w:spacing w:line="420" w:lineRule="atLeast"/>
      <w:jc w:val="left"/>
      <w:textAlignment w:val="baseline"/>
    </w:pPr>
    <w:rPr>
      <w:kern w:val="0"/>
      <w:szCs w:val="20"/>
    </w:rPr>
  </w:style>
  <w:style w:type="paragraph" w:customStyle="1" w:styleId="15">
    <w:name w:val="方案正文"/>
    <w:basedOn w:val="1"/>
    <w:autoRedefine/>
    <w:qFormat/>
    <w:uiPriority w:val="0"/>
    <w:pPr>
      <w:spacing w:line="360" w:lineRule="auto"/>
      <w:ind w:firstLine="420"/>
      <w:jc w:val="left"/>
    </w:pPr>
    <w:rPr>
      <w:rFonts w:eastAsia="仿宋_GB2312"/>
      <w:sz w:val="24"/>
      <w:szCs w:val="20"/>
    </w:rPr>
  </w:style>
  <w:style w:type="paragraph" w:customStyle="1" w:styleId="16">
    <w:name w:val="List Paragraph"/>
    <w:basedOn w:val="1"/>
    <w:autoRedefine/>
    <w:qFormat/>
    <w:uiPriority w:val="0"/>
    <w:pPr>
      <w:ind w:firstLine="420" w:firstLineChars="200"/>
    </w:pPr>
  </w:style>
  <w:style w:type="paragraph" w:customStyle="1" w:styleId="17">
    <w:name w:val="Default"/>
    <w:autoRedefine/>
    <w:qFormat/>
    <w:uiPriority w:val="0"/>
    <w:pPr>
      <w:widowControl w:val="0"/>
      <w:autoSpaceDE w:val="0"/>
      <w:autoSpaceDN w:val="0"/>
      <w:adjustRightInd w:val="0"/>
    </w:pPr>
    <w:rPr>
      <w:rFonts w:ascii="仿宋_GB2312" w:eastAsia="仿宋_GB2312" w:cs="仿宋_GB2312" w:hAnsiTheme="minorHAnsi"/>
      <w:color w:val="000000"/>
      <w:sz w:val="24"/>
      <w:szCs w:val="24"/>
      <w:lang w:val="en-US" w:eastAsia="zh-CN" w:bidi="ar-SA"/>
    </w:rPr>
  </w:style>
  <w:style w:type="paragraph" w:customStyle="1" w:styleId="18">
    <w:name w:val="Table Paragraph"/>
    <w:basedOn w:val="1"/>
    <w:autoRedefine/>
    <w:qFormat/>
    <w:uiPriority w:val="1"/>
    <w:pPr>
      <w:jc w:val="left"/>
    </w:pPr>
    <w:rPr>
      <w:rFonts w:ascii="Calibri" w:hAnsi="Calibri"/>
      <w:kern w:val="0"/>
      <w:sz w:val="22"/>
      <w:szCs w:val="22"/>
      <w:lang w:eastAsia="en-US"/>
    </w:rPr>
  </w:style>
  <w:style w:type="paragraph" w:customStyle="1" w:styleId="19">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3600</Words>
  <Characters>3973</Characters>
  <Lines>0</Lines>
  <Paragraphs>0</Paragraphs>
  <TotalTime>0</TotalTime>
  <ScaleCrop>false</ScaleCrop>
  <LinksUpToDate>false</LinksUpToDate>
  <CharactersWithSpaces>4073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2021-04-12T01:30:00Z</dcterms:created>
  <dc:creator>Administrator</dc:creator>
  <cp:lastModifiedBy>燕</cp:lastModifiedBy>
  <cp:lastPrinted>2021-05-21T07:46:00Z</cp:lastPrinted>
  <dcterms:modified xsi:type="dcterms:W3CDTF">2025-02-27T02:36:17Z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22852DEFAB4B4FCCA727D7CDC7983C0B</vt:lpwstr>
  </property>
  <property fmtid="{D5CDD505-2E9C-101B-9397-08002B2CF9AE}" pid="4" name="KSOTemplateDocerSaveRecord">
    <vt:lpwstr>eyJoZGlkIjoiY2JjYmFhMzZhM2ZjY2RjMjc5Y2FlZGIzNWMzMDg0MjYiLCJ1c2VySWQiOiIzMTk4MDk3NjMifQ==</vt:lpwstr>
  </property>
</Properties>
</file>