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D3076">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二级等保建设项目需求</w:t>
      </w:r>
    </w:p>
    <w:p w14:paraId="32D6804F">
      <w:pPr>
        <w:adjustRightInd w:val="0"/>
        <w:snapToGrid w:val="0"/>
        <w:spacing w:line="420" w:lineRule="exact"/>
        <w:rPr>
          <w:rFonts w:hint="eastAsia" w:ascii="仿宋" w:hAnsi="仿宋" w:eastAsia="仿宋"/>
          <w:sz w:val="32"/>
          <w:szCs w:val="32"/>
        </w:rPr>
      </w:pPr>
    </w:p>
    <w:tbl>
      <w:tblPr>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26"/>
        <w:gridCol w:w="957"/>
        <w:gridCol w:w="7551"/>
        <w:gridCol w:w="426"/>
      </w:tblGrid>
      <w:tr w14:paraId="1162F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jc w:val="center"/>
        </w:trPr>
        <w:tc>
          <w:tcPr>
            <w:tcW w:w="396" w:type="dxa"/>
            <w:vMerge w:val="restart"/>
            <w:tcBorders>
              <w:top w:val="single" w:color="000000" w:sz="8" w:space="0"/>
              <w:left w:val="single" w:color="000000" w:sz="8" w:space="0"/>
              <w:bottom w:val="single" w:color="000000" w:sz="8" w:space="0"/>
              <w:right w:val="single" w:color="000000" w:sz="8" w:space="0"/>
            </w:tcBorders>
            <w:shd w:val="clear"/>
            <w:vAlign w:val="center"/>
          </w:tcPr>
          <w:p w14:paraId="40B337DA">
            <w:pPr>
              <w:keepNext w:val="0"/>
              <w:keepLines w:val="0"/>
              <w:widowControl/>
              <w:suppressLineNumbers w:val="0"/>
              <w:jc w:val="both"/>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960" w:type="dxa"/>
            <w:vMerge w:val="restart"/>
            <w:tcBorders>
              <w:top w:val="single" w:color="000000" w:sz="8" w:space="0"/>
              <w:left w:val="single" w:color="000000" w:sz="8" w:space="0"/>
              <w:bottom w:val="single" w:color="000000" w:sz="8" w:space="0"/>
              <w:right w:val="single" w:color="000000" w:sz="8" w:space="0"/>
            </w:tcBorders>
            <w:shd w:val="clear"/>
            <w:vAlign w:val="center"/>
          </w:tcPr>
          <w:p w14:paraId="2341524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互联网出口防火墙</w:t>
            </w:r>
          </w:p>
        </w:tc>
        <w:tc>
          <w:tcPr>
            <w:tcW w:w="7596" w:type="dxa"/>
            <w:vMerge w:val="restart"/>
            <w:tcBorders>
              <w:top w:val="single" w:color="000000" w:sz="8" w:space="0"/>
              <w:left w:val="single" w:color="000000" w:sz="8" w:space="0"/>
              <w:bottom w:val="nil"/>
              <w:right w:val="single" w:color="000000" w:sz="8" w:space="0"/>
            </w:tcBorders>
            <w:shd w:val="clear"/>
            <w:vAlign w:val="center"/>
          </w:tcPr>
          <w:p w14:paraId="4AEC3A9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1U设备，64G SSD，双电源；防火墙吞吐量≥24Gbps；IPS+AV吞吐量≥16bps；并发连接≥800万；每秒新建≥12万；Ipsec VPN吞吐≥6G；SSL VPN授权≥2000个；</w:t>
            </w:r>
          </w:p>
        </w:tc>
        <w:tc>
          <w:tcPr>
            <w:tcW w:w="408" w:type="dxa"/>
            <w:vMerge w:val="restart"/>
            <w:tcBorders>
              <w:top w:val="single" w:color="000000" w:sz="8" w:space="0"/>
              <w:left w:val="single" w:color="000000" w:sz="8" w:space="0"/>
              <w:bottom w:val="single" w:color="000000" w:sz="8" w:space="0"/>
              <w:right w:val="single" w:color="000000" w:sz="8" w:space="0"/>
            </w:tcBorders>
            <w:shd w:val="clear"/>
            <w:vAlign w:val="center"/>
          </w:tcPr>
          <w:p w14:paraId="783A2F0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4C61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jc w:val="center"/>
        </w:trPr>
        <w:tc>
          <w:tcPr>
            <w:tcW w:w="396" w:type="dxa"/>
            <w:vMerge w:val="continue"/>
            <w:tcBorders>
              <w:top w:val="single" w:color="000000" w:sz="8" w:space="0"/>
              <w:left w:val="single" w:color="000000" w:sz="8" w:space="0"/>
              <w:bottom w:val="single" w:color="000000" w:sz="8" w:space="0"/>
              <w:right w:val="single" w:color="000000" w:sz="8" w:space="0"/>
            </w:tcBorders>
            <w:shd w:val="clear"/>
            <w:vAlign w:val="center"/>
          </w:tcPr>
          <w:p w14:paraId="39559C11">
            <w:pPr>
              <w:jc w:val="both"/>
              <w:rPr>
                <w:rFonts w:hint="eastAsia" w:ascii="仿宋" w:hAnsi="仿宋" w:eastAsia="仿宋" w:cs="仿宋"/>
                <w:i w:val="0"/>
                <w:iCs w:val="0"/>
                <w:color w:val="000000"/>
                <w:sz w:val="21"/>
                <w:szCs w:val="21"/>
                <w:u w:val="none"/>
              </w:rPr>
            </w:pPr>
          </w:p>
        </w:tc>
        <w:tc>
          <w:tcPr>
            <w:tcW w:w="960" w:type="dxa"/>
            <w:vMerge w:val="continue"/>
            <w:tcBorders>
              <w:top w:val="single" w:color="000000" w:sz="8" w:space="0"/>
              <w:left w:val="single" w:color="000000" w:sz="8" w:space="0"/>
              <w:bottom w:val="single" w:color="000000" w:sz="8" w:space="0"/>
              <w:right w:val="single" w:color="000000" w:sz="8" w:space="0"/>
            </w:tcBorders>
            <w:shd w:val="clear"/>
            <w:vAlign w:val="center"/>
          </w:tcPr>
          <w:p w14:paraId="79590795">
            <w:pPr>
              <w:jc w:val="both"/>
              <w:rPr>
                <w:rFonts w:hint="eastAsia" w:ascii="仿宋" w:hAnsi="仿宋" w:eastAsia="仿宋" w:cs="仿宋"/>
                <w:i w:val="0"/>
                <w:iCs w:val="0"/>
                <w:color w:val="000000"/>
                <w:sz w:val="21"/>
                <w:szCs w:val="21"/>
                <w:u w:val="none"/>
              </w:rPr>
            </w:pPr>
          </w:p>
        </w:tc>
        <w:tc>
          <w:tcPr>
            <w:tcW w:w="7596" w:type="dxa"/>
            <w:vMerge w:val="continue"/>
            <w:tcBorders>
              <w:top w:val="single" w:color="000000" w:sz="8" w:space="0"/>
              <w:left w:val="single" w:color="000000" w:sz="8" w:space="0"/>
              <w:bottom w:val="nil"/>
              <w:right w:val="single" w:color="000000" w:sz="8" w:space="0"/>
            </w:tcBorders>
            <w:shd w:val="clear"/>
            <w:vAlign w:val="center"/>
          </w:tcPr>
          <w:p w14:paraId="6BA09E46">
            <w:pPr>
              <w:jc w:val="left"/>
              <w:rPr>
                <w:rFonts w:hint="eastAsia" w:ascii="仿宋" w:hAnsi="仿宋" w:eastAsia="仿宋" w:cs="仿宋"/>
                <w:i w:val="0"/>
                <w:iCs w:val="0"/>
                <w:color w:val="000000"/>
                <w:sz w:val="21"/>
                <w:szCs w:val="21"/>
                <w:u w:val="none"/>
              </w:rPr>
            </w:pPr>
          </w:p>
        </w:tc>
        <w:tc>
          <w:tcPr>
            <w:tcW w:w="408" w:type="dxa"/>
            <w:vMerge w:val="continue"/>
            <w:tcBorders>
              <w:top w:val="single" w:color="000000" w:sz="8" w:space="0"/>
              <w:left w:val="single" w:color="000000" w:sz="8" w:space="0"/>
              <w:bottom w:val="single" w:color="000000" w:sz="8" w:space="0"/>
              <w:right w:val="single" w:color="000000" w:sz="8" w:space="0"/>
            </w:tcBorders>
            <w:shd w:val="clear"/>
            <w:vAlign w:val="center"/>
          </w:tcPr>
          <w:p w14:paraId="3568083A">
            <w:pPr>
              <w:jc w:val="both"/>
              <w:rPr>
                <w:rFonts w:hint="eastAsia" w:ascii="仿宋" w:hAnsi="仿宋" w:eastAsia="仿宋" w:cs="仿宋"/>
                <w:i w:val="0"/>
                <w:iCs w:val="0"/>
                <w:color w:val="000000"/>
                <w:sz w:val="21"/>
                <w:szCs w:val="21"/>
                <w:u w:val="none"/>
              </w:rPr>
            </w:pPr>
          </w:p>
        </w:tc>
      </w:tr>
      <w:tr w14:paraId="6EE0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1" w:hRule="atLeast"/>
          <w:jc w:val="center"/>
        </w:trPr>
        <w:tc>
          <w:tcPr>
            <w:tcW w:w="396" w:type="dxa"/>
            <w:vMerge w:val="continue"/>
            <w:tcBorders>
              <w:top w:val="single" w:color="000000" w:sz="8" w:space="0"/>
              <w:left w:val="single" w:color="000000" w:sz="8" w:space="0"/>
              <w:bottom w:val="single" w:color="000000" w:sz="8" w:space="0"/>
              <w:right w:val="single" w:color="000000" w:sz="8" w:space="0"/>
            </w:tcBorders>
            <w:shd w:val="clear"/>
            <w:vAlign w:val="center"/>
          </w:tcPr>
          <w:p w14:paraId="094481A9">
            <w:pPr>
              <w:jc w:val="both"/>
              <w:rPr>
                <w:rFonts w:hint="eastAsia" w:ascii="仿宋" w:hAnsi="仿宋" w:eastAsia="仿宋" w:cs="仿宋"/>
                <w:i w:val="0"/>
                <w:iCs w:val="0"/>
                <w:color w:val="000000"/>
                <w:sz w:val="21"/>
                <w:szCs w:val="21"/>
                <w:u w:val="none"/>
              </w:rPr>
            </w:pPr>
          </w:p>
        </w:tc>
        <w:tc>
          <w:tcPr>
            <w:tcW w:w="960" w:type="dxa"/>
            <w:vMerge w:val="continue"/>
            <w:tcBorders>
              <w:top w:val="single" w:color="000000" w:sz="8" w:space="0"/>
              <w:left w:val="single" w:color="000000" w:sz="8" w:space="0"/>
              <w:bottom w:val="single" w:color="000000" w:sz="8" w:space="0"/>
              <w:right w:val="single" w:color="000000" w:sz="8" w:space="0"/>
            </w:tcBorders>
            <w:shd w:val="clear"/>
            <w:vAlign w:val="center"/>
          </w:tcPr>
          <w:p w14:paraId="1CC7DF4D">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8" w:space="0"/>
              <w:right w:val="single" w:color="000000" w:sz="8" w:space="0"/>
            </w:tcBorders>
            <w:shd w:val="clear"/>
            <w:vAlign w:val="center"/>
          </w:tcPr>
          <w:p w14:paraId="57529CA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具备防病毒与云查杀，入侵防御，弱口令检测，URL访问控制与流量管控等功能；</w:t>
            </w:r>
          </w:p>
        </w:tc>
        <w:tc>
          <w:tcPr>
            <w:tcW w:w="408" w:type="dxa"/>
            <w:vMerge w:val="continue"/>
            <w:tcBorders>
              <w:top w:val="single" w:color="000000" w:sz="8" w:space="0"/>
              <w:left w:val="single" w:color="000000" w:sz="8" w:space="0"/>
              <w:bottom w:val="single" w:color="000000" w:sz="8" w:space="0"/>
              <w:right w:val="single" w:color="000000" w:sz="8" w:space="0"/>
            </w:tcBorders>
            <w:shd w:val="clear"/>
            <w:vAlign w:val="center"/>
          </w:tcPr>
          <w:p w14:paraId="2D750601">
            <w:pPr>
              <w:jc w:val="both"/>
              <w:rPr>
                <w:rFonts w:hint="eastAsia" w:ascii="仿宋" w:hAnsi="仿宋" w:eastAsia="仿宋" w:cs="仿宋"/>
                <w:i w:val="0"/>
                <w:iCs w:val="0"/>
                <w:color w:val="000000"/>
                <w:sz w:val="21"/>
                <w:szCs w:val="21"/>
                <w:u w:val="none"/>
              </w:rPr>
            </w:pPr>
          </w:p>
        </w:tc>
      </w:tr>
      <w:tr w14:paraId="0D09E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3DB6697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4481AA1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上网行为管</w:t>
            </w:r>
            <w:bookmarkStart w:id="0" w:name="_GoBack"/>
            <w:bookmarkEnd w:id="0"/>
            <w:r>
              <w:rPr>
                <w:rFonts w:hint="eastAsia" w:ascii="仿宋" w:hAnsi="仿宋" w:eastAsia="仿宋" w:cs="仿宋"/>
                <w:i w:val="0"/>
                <w:iCs w:val="0"/>
                <w:color w:val="000000"/>
                <w:kern w:val="0"/>
                <w:sz w:val="21"/>
                <w:szCs w:val="21"/>
                <w:u w:val="none"/>
                <w:bdr w:val="none" w:color="auto" w:sz="0" w:space="0"/>
                <w:lang w:val="en-US" w:eastAsia="zh-CN" w:bidi="ar"/>
              </w:rPr>
              <w:t>理系统</w:t>
            </w:r>
          </w:p>
        </w:tc>
        <w:tc>
          <w:tcPr>
            <w:tcW w:w="7596" w:type="dxa"/>
            <w:tcBorders>
              <w:top w:val="nil"/>
              <w:left w:val="single" w:color="000000" w:sz="8" w:space="0"/>
              <w:bottom w:val="nil"/>
              <w:right w:val="single" w:color="000000" w:sz="8" w:space="0"/>
            </w:tcBorders>
            <w:shd w:val="clear"/>
            <w:vAlign w:val="center"/>
          </w:tcPr>
          <w:p w14:paraId="0F13BAB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1U设备，适配带宽≥1G，≥2G内存，≥1T硬盘，网络吞吐率≥18Gbps，SSL VPN授权≥1500个；</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1BE9AD9F">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0BD66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79"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6BCC4075">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3DCB4F4D">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2C3BDEF1">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内置软件Bypass机制，具备链路负载功能，支持IPv6/v4双栈，识别私接WiFi共享等防网络共享，流量数据分析与日志报表，包含URL分类库、流量管控QoS等功能模块；</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941455F">
            <w:pPr>
              <w:jc w:val="both"/>
              <w:rPr>
                <w:rFonts w:hint="eastAsia" w:ascii="仿宋" w:hAnsi="仿宋" w:eastAsia="仿宋" w:cs="仿宋"/>
                <w:i w:val="0"/>
                <w:iCs w:val="0"/>
                <w:color w:val="000000"/>
                <w:sz w:val="21"/>
                <w:szCs w:val="21"/>
                <w:u w:val="none"/>
              </w:rPr>
            </w:pPr>
          </w:p>
        </w:tc>
      </w:tr>
      <w:tr w14:paraId="30346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24D3B1D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3</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66D7025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专线出口防火墙</w:t>
            </w:r>
          </w:p>
        </w:tc>
        <w:tc>
          <w:tcPr>
            <w:tcW w:w="7596" w:type="dxa"/>
            <w:tcBorders>
              <w:top w:val="nil"/>
              <w:left w:val="single" w:color="000000" w:sz="8" w:space="0"/>
              <w:bottom w:val="nil"/>
              <w:right w:val="single" w:color="000000" w:sz="8" w:space="0"/>
            </w:tcBorders>
            <w:shd w:val="clear"/>
            <w:vAlign w:val="center"/>
          </w:tcPr>
          <w:p w14:paraId="6A3AF80C">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1U设备，≥8个千兆电口，≥4个千兆光口，≥4G EMMC存储，双电源；防火墙吞吐量≥20Gbps；IPS+AV吞吐量≥8Gbps；并发连接≥450万；每秒新建≥10万；Ipsec VPN吞吐≥2G；SSL VPN授权≥600个；</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3585B45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19D51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1E6B5172">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2568E074">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1359EA44">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具备防病毒与云查杀，入侵防御，弱口令检测，URL访问控制与流量管控等功能；</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47C7DEA6">
            <w:pPr>
              <w:jc w:val="both"/>
              <w:rPr>
                <w:rFonts w:hint="eastAsia" w:ascii="仿宋" w:hAnsi="仿宋" w:eastAsia="仿宋" w:cs="仿宋"/>
                <w:i w:val="0"/>
                <w:iCs w:val="0"/>
                <w:color w:val="000000"/>
                <w:sz w:val="21"/>
                <w:szCs w:val="21"/>
                <w:u w:val="none"/>
              </w:rPr>
            </w:pPr>
          </w:p>
        </w:tc>
      </w:tr>
      <w:tr w14:paraId="449E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739489C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4</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56C1081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日志审计系统</w:t>
            </w:r>
          </w:p>
        </w:tc>
        <w:tc>
          <w:tcPr>
            <w:tcW w:w="7596" w:type="dxa"/>
            <w:tcBorders>
              <w:top w:val="nil"/>
              <w:left w:val="single" w:color="000000" w:sz="8" w:space="0"/>
              <w:bottom w:val="nil"/>
              <w:right w:val="single" w:color="000000" w:sz="8" w:space="0"/>
            </w:tcBorders>
            <w:shd w:val="clear"/>
            <w:vAlign w:val="center"/>
          </w:tcPr>
          <w:p w14:paraId="14C89F6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2U设备， ≥32G内存，≥6个千兆电口，≥2个扩展槽（每个扩展槽可配置4千兆电口或4千兆光口或2万兆光口接口扩展板），≥8T硬盘，冗余电源；</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6C2722D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19C0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79"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3492C8DA">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64C3D569">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617AE955">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事件综合处理性能≥6000EPS；含接入授权≥100个日志源，可扩展接入授权≥150个，具备将网络设备，安全设备，数据库，操作员站等统一收集，处理分析，精准识别安全事件，并对安全事件做溯源分析或干预；</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2ED319FB">
            <w:pPr>
              <w:jc w:val="both"/>
              <w:rPr>
                <w:rFonts w:hint="eastAsia" w:ascii="仿宋" w:hAnsi="仿宋" w:eastAsia="仿宋" w:cs="仿宋"/>
                <w:i w:val="0"/>
                <w:iCs w:val="0"/>
                <w:color w:val="000000"/>
                <w:sz w:val="21"/>
                <w:szCs w:val="21"/>
                <w:u w:val="none"/>
              </w:rPr>
            </w:pPr>
          </w:p>
        </w:tc>
      </w:tr>
      <w:tr w14:paraId="35E5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7A69BDD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56A519C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数据库审计系统</w:t>
            </w:r>
          </w:p>
        </w:tc>
        <w:tc>
          <w:tcPr>
            <w:tcW w:w="7596" w:type="dxa"/>
            <w:tcBorders>
              <w:top w:val="nil"/>
              <w:left w:val="single" w:color="000000" w:sz="8" w:space="0"/>
              <w:bottom w:val="nil"/>
              <w:right w:val="single" w:color="000000" w:sz="8" w:space="0"/>
            </w:tcBorders>
            <w:shd w:val="clear"/>
            <w:vAlign w:val="center"/>
          </w:tcPr>
          <w:p w14:paraId="65249AF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1U设备，单电源；≥16GB内存，≥4TB硬盘；≥6千兆电口，≥2个扩展槽位；支持数据库实例无限制，可根据医院无限制添加；吞吐量≥500Mbps；SQL处理能力≥40000条/s；</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7231494C">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1458D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18B704ED">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56B08CD8">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0BCABC4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实现单/双向审计，关联业务审计，系统状态监控，对数据库认证方式、系统配置、授权管理、漏洞以及弱口令等进行扫描，风险告警的日志外发等；</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07F1639D">
            <w:pPr>
              <w:jc w:val="both"/>
              <w:rPr>
                <w:rFonts w:hint="eastAsia" w:ascii="仿宋" w:hAnsi="仿宋" w:eastAsia="仿宋" w:cs="仿宋"/>
                <w:i w:val="0"/>
                <w:iCs w:val="0"/>
                <w:color w:val="000000"/>
                <w:sz w:val="21"/>
                <w:szCs w:val="21"/>
                <w:u w:val="none"/>
              </w:rPr>
            </w:pPr>
          </w:p>
        </w:tc>
      </w:tr>
      <w:tr w14:paraId="24DE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33F6FD4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6</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0462D70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堡垒机</w:t>
            </w:r>
          </w:p>
        </w:tc>
        <w:tc>
          <w:tcPr>
            <w:tcW w:w="7596" w:type="dxa"/>
            <w:tcBorders>
              <w:top w:val="nil"/>
              <w:left w:val="single" w:color="000000" w:sz="8" w:space="0"/>
              <w:bottom w:val="nil"/>
              <w:right w:val="single" w:color="000000" w:sz="8" w:space="0"/>
            </w:tcBorders>
            <w:shd w:val="clear"/>
            <w:vAlign w:val="center"/>
          </w:tcPr>
          <w:p w14:paraId="19AC224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1U设备，≥1T硬盘，≥8G内存，≥6个千兆电口，单电源。</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597CEBED">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65DF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3D3AE340">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4DB105F3">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0623BDD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授权license≥50个，最大可扩容授权≥150个，针对不同的数据库及其客户端、HTTP/HTTPS、企业应用运维客户端实现单点登录。提供统一的C/S运维操作平台，通过SecureCRT、Putty等字符终端类远程管理客户端软件及远程桌面客户端软件，登录终端运维平台，集中管理字符终端及图形终端；</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A62F877">
            <w:pPr>
              <w:jc w:val="both"/>
              <w:rPr>
                <w:rFonts w:hint="eastAsia" w:ascii="仿宋" w:hAnsi="仿宋" w:eastAsia="仿宋" w:cs="仿宋"/>
                <w:i w:val="0"/>
                <w:iCs w:val="0"/>
                <w:color w:val="000000"/>
                <w:sz w:val="21"/>
                <w:szCs w:val="21"/>
                <w:u w:val="none"/>
              </w:rPr>
            </w:pPr>
          </w:p>
        </w:tc>
      </w:tr>
      <w:tr w14:paraId="0FE2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067AA7C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7</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5FFE6945">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高级威胁检测分析平台</w:t>
            </w:r>
          </w:p>
        </w:tc>
        <w:tc>
          <w:tcPr>
            <w:tcW w:w="7596" w:type="dxa"/>
            <w:tcBorders>
              <w:top w:val="nil"/>
              <w:left w:val="single" w:color="000000" w:sz="8" w:space="0"/>
              <w:bottom w:val="nil"/>
              <w:right w:val="single" w:color="000000" w:sz="8" w:space="0"/>
            </w:tcBorders>
            <w:shd w:val="clear"/>
            <w:vAlign w:val="center"/>
          </w:tcPr>
          <w:p w14:paraId="34B157D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软硬一体化设备，对应用层吞吐量≥2Gbps；网络层吞吐量≥4Gbps；静态文件检测≥1000万个/天，动态文件检测数≥4000个/天，包含威胁情报服务授权；</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0946ED8D">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1套</w:t>
            </w:r>
          </w:p>
        </w:tc>
      </w:tr>
      <w:tr w14:paraId="4A08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512D1C80">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28F88EAB">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nil"/>
              <w:right w:val="single" w:color="000000" w:sz="8" w:space="0"/>
            </w:tcBorders>
            <w:shd w:val="clear"/>
            <w:vAlign w:val="center"/>
          </w:tcPr>
          <w:p w14:paraId="4973721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对全院网络进出流量进行监测，深度发现网络中的扫描探测、漏洞利用、恶意代码、黑客控制及横向渗透等攻击和控制行为，并通过态势监测、KillChain攻杀链、时间序列等可视化分析手段，快速对攻击性质、攻击途径、攻击手法进行定性，及时发现复杂和高级的网络攻击，缩短威胁分析和溯源时间；</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205D3B5">
            <w:pPr>
              <w:jc w:val="both"/>
              <w:rPr>
                <w:rFonts w:hint="eastAsia" w:ascii="仿宋" w:hAnsi="仿宋" w:eastAsia="仿宋" w:cs="仿宋"/>
                <w:i w:val="0"/>
                <w:iCs w:val="0"/>
                <w:color w:val="000000"/>
                <w:sz w:val="21"/>
                <w:szCs w:val="21"/>
                <w:u w:val="none"/>
              </w:rPr>
            </w:pPr>
          </w:p>
        </w:tc>
      </w:tr>
      <w:tr w14:paraId="09FBD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761FB117">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0A0E3E09">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02351476">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对全流量安全检测，支持多种传输协议，支持对失陷主机，远程漏洞攻击，可以流量等检测，支持web攻击，APT攻击与未知威胁检测，并与防火墙联动等</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E49DF20">
            <w:pPr>
              <w:jc w:val="both"/>
              <w:rPr>
                <w:rFonts w:hint="eastAsia" w:ascii="仿宋" w:hAnsi="仿宋" w:eastAsia="仿宋" w:cs="仿宋"/>
                <w:i w:val="0"/>
                <w:iCs w:val="0"/>
                <w:color w:val="000000"/>
                <w:sz w:val="21"/>
                <w:szCs w:val="21"/>
                <w:u w:val="none"/>
              </w:rPr>
            </w:pPr>
          </w:p>
        </w:tc>
      </w:tr>
      <w:tr w14:paraId="0813C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7"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2CBD7BA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8</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626B2D4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Web应用防护系统</w:t>
            </w:r>
          </w:p>
        </w:tc>
        <w:tc>
          <w:tcPr>
            <w:tcW w:w="7596" w:type="dxa"/>
            <w:tcBorders>
              <w:top w:val="nil"/>
              <w:left w:val="single" w:color="000000" w:sz="8" w:space="0"/>
              <w:bottom w:val="nil"/>
              <w:right w:val="single" w:color="000000" w:sz="8" w:space="0"/>
            </w:tcBorders>
            <w:shd w:val="clear"/>
            <w:vAlign w:val="center"/>
          </w:tcPr>
          <w:p w14:paraId="6EC29FFF">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1U设备，单电源，≥8 个千兆电接口，≥1个Console口，≥2个USB接口，≥1个管理口，≥4GB内存，≥500G硬盘。可防护站点数≥16个。多核CPU硬件架构，网络层吞吐≥18G，HTTP吞吐≥8G，HTTPS吞吐≥1000M，网络并发连接数≥200万，HTTP并发连接数≥830万，HTTP新建连接数≥4万；</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5A66747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6BA2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483D352A">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5BFF3713">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18B5CCDC">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具备WEB应用安全防护，WEB资产自动发现，</w:t>
            </w:r>
            <w:r>
              <w:rPr>
                <w:rFonts w:hint="eastAsia" w:ascii="仿宋" w:hAnsi="仿宋" w:eastAsia="仿宋" w:cs="仿宋"/>
                <w:i w:val="0"/>
                <w:iCs w:val="0"/>
                <w:color w:val="000000"/>
                <w:kern w:val="0"/>
                <w:sz w:val="20"/>
                <w:szCs w:val="20"/>
                <w:u w:val="none"/>
                <w:bdr w:val="none" w:color="auto" w:sz="0" w:space="0"/>
                <w:lang w:val="en-US" w:eastAsia="zh-CN" w:bidi="ar"/>
              </w:rPr>
              <w:t>漏洞扫描及虚拟补丁，</w:t>
            </w:r>
            <w:r>
              <w:rPr>
                <w:rFonts w:hint="eastAsia" w:ascii="仿宋" w:hAnsi="仿宋" w:eastAsia="仿宋" w:cs="仿宋"/>
                <w:i w:val="0"/>
                <w:iCs w:val="0"/>
                <w:color w:val="000000"/>
                <w:kern w:val="0"/>
                <w:sz w:val="21"/>
                <w:szCs w:val="21"/>
                <w:u w:val="none"/>
                <w:bdr w:val="none" w:color="auto" w:sz="0" w:space="0"/>
                <w:lang w:val="en-US" w:eastAsia="zh-CN" w:bidi="ar"/>
              </w:rPr>
              <w:t>网页防篡改功能，</w:t>
            </w:r>
            <w:r>
              <w:rPr>
                <w:rFonts w:hint="eastAsia" w:ascii="仿宋" w:hAnsi="仿宋" w:eastAsia="仿宋" w:cs="仿宋"/>
                <w:i w:val="0"/>
                <w:iCs w:val="0"/>
                <w:color w:val="000000"/>
                <w:kern w:val="0"/>
                <w:sz w:val="20"/>
                <w:szCs w:val="20"/>
                <w:u w:val="none"/>
                <w:bdr w:val="none" w:color="auto" w:sz="0" w:space="0"/>
                <w:lang w:val="en-US" w:eastAsia="zh-CN" w:bidi="ar"/>
              </w:rPr>
              <w:t>应用加速及服务器负载分担，</w:t>
            </w:r>
            <w:r>
              <w:rPr>
                <w:rFonts w:hint="eastAsia" w:ascii="仿宋" w:hAnsi="仿宋" w:eastAsia="仿宋" w:cs="仿宋"/>
                <w:i w:val="0"/>
                <w:iCs w:val="0"/>
                <w:color w:val="000000"/>
                <w:kern w:val="0"/>
                <w:sz w:val="21"/>
                <w:szCs w:val="21"/>
                <w:u w:val="none"/>
                <w:bdr w:val="none" w:color="auto" w:sz="0" w:space="0"/>
                <w:lang w:val="en-US" w:eastAsia="zh-CN" w:bidi="ar"/>
              </w:rPr>
              <w:t>针对为止风险的流量自学习功能等；</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59639237">
            <w:pPr>
              <w:jc w:val="both"/>
              <w:rPr>
                <w:rFonts w:hint="eastAsia" w:ascii="仿宋" w:hAnsi="仿宋" w:eastAsia="仿宋" w:cs="仿宋"/>
                <w:i w:val="0"/>
                <w:iCs w:val="0"/>
                <w:color w:val="000000"/>
                <w:sz w:val="21"/>
                <w:szCs w:val="21"/>
                <w:u w:val="none"/>
              </w:rPr>
            </w:pPr>
          </w:p>
        </w:tc>
      </w:tr>
      <w:tr w14:paraId="59F27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7933453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9</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7133F2C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网闸</w:t>
            </w:r>
          </w:p>
        </w:tc>
        <w:tc>
          <w:tcPr>
            <w:tcW w:w="7596" w:type="dxa"/>
            <w:tcBorders>
              <w:top w:val="nil"/>
              <w:left w:val="single" w:color="000000" w:sz="8" w:space="0"/>
              <w:bottom w:val="nil"/>
              <w:right w:val="single" w:color="000000" w:sz="8" w:space="0"/>
            </w:tcBorders>
            <w:shd w:val="clear"/>
            <w:vAlign w:val="center"/>
          </w:tcPr>
          <w:p w14:paraId="12E27A4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1U，单电源，吞吐量≥1G； 内网：硬盘≥64G，≥4个千兆电口； 外网：硬盘≥64G，≥4个千兆电口；</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507B5F3F">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1台</w:t>
            </w:r>
          </w:p>
        </w:tc>
      </w:tr>
      <w:tr w14:paraId="227C8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79"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5945E3C7">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752DCE14">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4" w:space="0"/>
              <w:right w:val="single" w:color="000000" w:sz="8" w:space="0"/>
            </w:tcBorders>
            <w:shd w:val="clear"/>
            <w:vAlign w:val="center"/>
          </w:tcPr>
          <w:p w14:paraId="57E977E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实现内外网数据交互，文件同步，数据库同步等，不改变原有数据架构，系统提供多种安全检测功能，多种访问控制功能，做到WEB界面管理、三权分立、调试工具、状态显示、日志审计等功能；</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28E38420">
            <w:pPr>
              <w:jc w:val="both"/>
              <w:rPr>
                <w:rFonts w:hint="eastAsia" w:ascii="仿宋" w:hAnsi="仿宋" w:eastAsia="仿宋" w:cs="仿宋"/>
                <w:i w:val="0"/>
                <w:iCs w:val="0"/>
                <w:color w:val="000000"/>
                <w:sz w:val="21"/>
                <w:szCs w:val="21"/>
                <w:u w:val="none"/>
              </w:rPr>
            </w:pPr>
          </w:p>
        </w:tc>
      </w:tr>
      <w:tr w14:paraId="6BC08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79"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426B278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0B1CB27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等保安全运维服务</w:t>
            </w:r>
          </w:p>
        </w:tc>
        <w:tc>
          <w:tcPr>
            <w:tcW w:w="7596" w:type="dxa"/>
            <w:tcBorders>
              <w:top w:val="nil"/>
              <w:left w:val="single" w:color="000000" w:sz="8" w:space="0"/>
              <w:bottom w:val="nil"/>
              <w:right w:val="single" w:color="000000" w:sz="8" w:space="0"/>
            </w:tcBorders>
            <w:shd w:val="clear"/>
            <w:vAlign w:val="center"/>
          </w:tcPr>
          <w:p w14:paraId="7FEC0CE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提供高级运维工程师、中级或高级安全工程师或具备安全厂家认证资质的工程师做运维服务，熟悉医院网络安全设备使用，安全应急处理，提供安全规划，医院所需要的重大活动安全保障等；</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2BE80E5E">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1项</w:t>
            </w:r>
          </w:p>
        </w:tc>
      </w:tr>
      <w:tr w14:paraId="7981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39473618">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65F4E42B">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nil"/>
              <w:right w:val="single" w:color="000000" w:sz="8" w:space="0"/>
            </w:tcBorders>
            <w:shd w:val="clear"/>
            <w:vAlign w:val="center"/>
          </w:tcPr>
          <w:p w14:paraId="4444C0A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针对医院重要业务系统，在医院授权许可后，每季度提供1次漏洞扫描服务，发现安全问题提供解决方案，直至处理问题结束；</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7C32AC18">
            <w:pPr>
              <w:jc w:val="both"/>
              <w:rPr>
                <w:rFonts w:hint="eastAsia" w:ascii="仿宋" w:hAnsi="仿宋" w:eastAsia="仿宋" w:cs="仿宋"/>
                <w:i w:val="0"/>
                <w:iCs w:val="0"/>
                <w:color w:val="000000"/>
                <w:sz w:val="21"/>
                <w:szCs w:val="21"/>
                <w:u w:val="none"/>
              </w:rPr>
            </w:pPr>
          </w:p>
        </w:tc>
      </w:tr>
      <w:tr w14:paraId="182BE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33818115">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329AD8AC">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nil"/>
              <w:right w:val="single" w:color="000000" w:sz="8" w:space="0"/>
            </w:tcBorders>
            <w:shd w:val="clear"/>
            <w:vAlign w:val="center"/>
          </w:tcPr>
          <w:p w14:paraId="0EC8E7E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针对医院重要业务系统，新上线或版本更新后，根据医院需求在现场实施安全渗透服务，发现问题提供解决办法并实施复测，最终提供安全渗透报告；</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70CCC44">
            <w:pPr>
              <w:jc w:val="both"/>
              <w:rPr>
                <w:rFonts w:hint="eastAsia" w:ascii="仿宋" w:hAnsi="仿宋" w:eastAsia="仿宋" w:cs="仿宋"/>
                <w:i w:val="0"/>
                <w:iCs w:val="0"/>
                <w:color w:val="000000"/>
                <w:sz w:val="21"/>
                <w:szCs w:val="21"/>
                <w:u w:val="none"/>
              </w:rPr>
            </w:pPr>
          </w:p>
        </w:tc>
      </w:tr>
      <w:tr w14:paraId="19A86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4A227B67">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13A669FD">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8" w:space="0"/>
              <w:right w:val="single" w:color="000000" w:sz="8" w:space="0"/>
            </w:tcBorders>
            <w:shd w:val="clear"/>
            <w:vAlign w:val="center"/>
          </w:tcPr>
          <w:p w14:paraId="3AEFFA0B">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在等级保护项目建设整个流程中，提供专业咨询建议，全面配合完成医院等级保护整改相关工作，直至通过等保测评认证。</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1372E96">
            <w:pPr>
              <w:jc w:val="both"/>
              <w:rPr>
                <w:rFonts w:hint="eastAsia" w:ascii="仿宋" w:hAnsi="仿宋" w:eastAsia="仿宋" w:cs="仿宋"/>
                <w:i w:val="0"/>
                <w:iCs w:val="0"/>
                <w:color w:val="000000"/>
                <w:sz w:val="21"/>
                <w:szCs w:val="21"/>
                <w:u w:val="none"/>
              </w:rPr>
            </w:pPr>
          </w:p>
        </w:tc>
      </w:tr>
      <w:tr w14:paraId="5C90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restart"/>
            <w:tcBorders>
              <w:top w:val="nil"/>
              <w:left w:val="single" w:color="000000" w:sz="8" w:space="0"/>
              <w:bottom w:val="single" w:color="000000" w:sz="8" w:space="0"/>
              <w:right w:val="single" w:color="000000" w:sz="8" w:space="0"/>
            </w:tcBorders>
            <w:shd w:val="clear"/>
            <w:vAlign w:val="center"/>
          </w:tcPr>
          <w:p w14:paraId="4D643061">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11</w:t>
            </w:r>
          </w:p>
        </w:tc>
        <w:tc>
          <w:tcPr>
            <w:tcW w:w="960" w:type="dxa"/>
            <w:vMerge w:val="restart"/>
            <w:tcBorders>
              <w:top w:val="nil"/>
              <w:left w:val="single" w:color="000000" w:sz="8" w:space="0"/>
              <w:bottom w:val="single" w:color="000000" w:sz="8" w:space="0"/>
              <w:right w:val="single" w:color="000000" w:sz="8" w:space="0"/>
            </w:tcBorders>
            <w:shd w:val="clear"/>
            <w:vAlign w:val="center"/>
          </w:tcPr>
          <w:p w14:paraId="552A9B8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等保测评服务</w:t>
            </w:r>
          </w:p>
        </w:tc>
        <w:tc>
          <w:tcPr>
            <w:tcW w:w="7596" w:type="dxa"/>
            <w:tcBorders>
              <w:top w:val="nil"/>
              <w:left w:val="single" w:color="000000" w:sz="8" w:space="0"/>
              <w:bottom w:val="nil"/>
              <w:right w:val="single" w:color="000000" w:sz="8" w:space="0"/>
            </w:tcBorders>
            <w:shd w:val="clear"/>
            <w:vAlign w:val="center"/>
          </w:tcPr>
          <w:p w14:paraId="667E7D9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针对医院重要系统配合完成实施备案服务，提供1套定级备案生产系统，辅助完成备案与测评整体项目流程；</w:t>
            </w:r>
          </w:p>
        </w:tc>
        <w:tc>
          <w:tcPr>
            <w:tcW w:w="408" w:type="dxa"/>
            <w:vMerge w:val="restart"/>
            <w:tcBorders>
              <w:top w:val="nil"/>
              <w:left w:val="single" w:color="000000" w:sz="8" w:space="0"/>
              <w:bottom w:val="single" w:color="000000" w:sz="8" w:space="0"/>
              <w:right w:val="single" w:color="000000" w:sz="8" w:space="0"/>
            </w:tcBorders>
            <w:shd w:val="clear"/>
            <w:vAlign w:val="center"/>
          </w:tcPr>
          <w:p w14:paraId="76BCC3A5">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1项</w:t>
            </w:r>
          </w:p>
        </w:tc>
      </w:tr>
      <w:tr w14:paraId="7EA5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4BF74B01">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4125E33E">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nil"/>
              <w:right w:val="single" w:color="000000" w:sz="8" w:space="0"/>
            </w:tcBorders>
            <w:shd w:val="clear"/>
            <w:vAlign w:val="center"/>
          </w:tcPr>
          <w:p w14:paraId="5F0C4A5F">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测评公司具备信息安全服务资质（信息安全风险评估）证书，ISO/IEC 27001:2022 信息安全管理体系认证证书；</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10FC7F99">
            <w:pPr>
              <w:jc w:val="both"/>
              <w:rPr>
                <w:rFonts w:hint="eastAsia" w:ascii="仿宋" w:hAnsi="仿宋" w:eastAsia="仿宋" w:cs="仿宋"/>
                <w:i w:val="0"/>
                <w:iCs w:val="0"/>
                <w:color w:val="000000"/>
                <w:sz w:val="21"/>
                <w:szCs w:val="21"/>
                <w:u w:val="none"/>
              </w:rPr>
            </w:pPr>
          </w:p>
        </w:tc>
      </w:tr>
      <w:tr w14:paraId="246D4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396" w:type="dxa"/>
            <w:vMerge w:val="continue"/>
            <w:tcBorders>
              <w:top w:val="nil"/>
              <w:left w:val="single" w:color="000000" w:sz="8" w:space="0"/>
              <w:bottom w:val="single" w:color="000000" w:sz="8" w:space="0"/>
              <w:right w:val="single" w:color="000000" w:sz="8" w:space="0"/>
            </w:tcBorders>
            <w:shd w:val="clear"/>
            <w:vAlign w:val="center"/>
          </w:tcPr>
          <w:p w14:paraId="29F1DCE5">
            <w:pPr>
              <w:jc w:val="both"/>
              <w:rPr>
                <w:rFonts w:hint="eastAsia" w:ascii="仿宋" w:hAnsi="仿宋" w:eastAsia="仿宋" w:cs="仿宋"/>
                <w:i w:val="0"/>
                <w:iCs w:val="0"/>
                <w:color w:val="000000"/>
                <w:sz w:val="21"/>
                <w:szCs w:val="21"/>
                <w:u w:val="none"/>
              </w:rPr>
            </w:pPr>
          </w:p>
        </w:tc>
        <w:tc>
          <w:tcPr>
            <w:tcW w:w="960" w:type="dxa"/>
            <w:vMerge w:val="continue"/>
            <w:tcBorders>
              <w:top w:val="nil"/>
              <w:left w:val="single" w:color="000000" w:sz="8" w:space="0"/>
              <w:bottom w:val="single" w:color="000000" w:sz="8" w:space="0"/>
              <w:right w:val="single" w:color="000000" w:sz="8" w:space="0"/>
            </w:tcBorders>
            <w:shd w:val="clear"/>
            <w:vAlign w:val="center"/>
          </w:tcPr>
          <w:p w14:paraId="666F8E60">
            <w:pPr>
              <w:jc w:val="both"/>
              <w:rPr>
                <w:rFonts w:hint="eastAsia" w:ascii="仿宋" w:hAnsi="仿宋" w:eastAsia="仿宋" w:cs="仿宋"/>
                <w:i w:val="0"/>
                <w:iCs w:val="0"/>
                <w:color w:val="000000"/>
                <w:sz w:val="21"/>
                <w:szCs w:val="21"/>
                <w:u w:val="none"/>
              </w:rPr>
            </w:pPr>
          </w:p>
        </w:tc>
        <w:tc>
          <w:tcPr>
            <w:tcW w:w="7596" w:type="dxa"/>
            <w:tcBorders>
              <w:top w:val="nil"/>
              <w:left w:val="single" w:color="000000" w:sz="8" w:space="0"/>
              <w:bottom w:val="single" w:color="000000" w:sz="8" w:space="0"/>
              <w:right w:val="single" w:color="000000" w:sz="8" w:space="0"/>
            </w:tcBorders>
            <w:shd w:val="clear"/>
            <w:vAlign w:val="center"/>
          </w:tcPr>
          <w:p w14:paraId="7EC9F40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入场测评工程师为高级测评师，具备数据安全能力成熟度模型(DSMM)测评师证书、国家重要信息系统保护人员证书（CIIP-T）、注册网络安全测评专业人员(NSATP)证书。</w:t>
            </w:r>
          </w:p>
        </w:tc>
        <w:tc>
          <w:tcPr>
            <w:tcW w:w="408" w:type="dxa"/>
            <w:vMerge w:val="continue"/>
            <w:tcBorders>
              <w:top w:val="nil"/>
              <w:left w:val="single" w:color="000000" w:sz="8" w:space="0"/>
              <w:bottom w:val="single" w:color="000000" w:sz="8" w:space="0"/>
              <w:right w:val="single" w:color="000000" w:sz="8" w:space="0"/>
            </w:tcBorders>
            <w:shd w:val="clear"/>
            <w:vAlign w:val="center"/>
          </w:tcPr>
          <w:p w14:paraId="52C4735D">
            <w:pPr>
              <w:jc w:val="both"/>
              <w:rPr>
                <w:rFonts w:hint="eastAsia" w:ascii="仿宋" w:hAnsi="仿宋" w:eastAsia="仿宋" w:cs="仿宋"/>
                <w:i w:val="0"/>
                <w:iCs w:val="0"/>
                <w:color w:val="000000"/>
                <w:sz w:val="21"/>
                <w:szCs w:val="21"/>
                <w:u w:val="none"/>
              </w:rPr>
            </w:pPr>
          </w:p>
        </w:tc>
      </w:tr>
    </w:tbl>
    <w:p w14:paraId="59551069">
      <w:pPr>
        <w:numPr>
          <w:numId w:val="0"/>
        </w:numPr>
        <w:adjustRightInd w:val="0"/>
        <w:snapToGrid w:val="0"/>
        <w:spacing w:line="420" w:lineRule="exact"/>
        <w:ind w:left="420" w:leftChars="0"/>
        <w:rPr>
          <w:rFonts w:hint="eastAsia" w:ascii="仿宋" w:hAnsi="仿宋" w:eastAsia="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42B2F"/>
    <w:rsid w:val="7E742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uiPriority w:val="0"/>
    <w:rPr>
      <w:rFonts w:hint="eastAsia" w:ascii="仿宋" w:hAnsi="仿宋" w:eastAsia="仿宋" w:cs="仿宋"/>
      <w:color w:val="FF0000"/>
      <w:sz w:val="21"/>
      <w:szCs w:val="21"/>
      <w:u w:val="none"/>
    </w:rPr>
  </w:style>
  <w:style w:type="character" w:customStyle="1" w:styleId="6">
    <w:name w:val="font11"/>
    <w:basedOn w:val="4"/>
    <w:uiPriority w:val="0"/>
    <w:rPr>
      <w:rFonts w:hint="eastAsia" w:ascii="仿宋" w:hAnsi="仿宋" w:eastAsia="仿宋" w:cs="仿宋"/>
      <w:color w:val="000000"/>
      <w:sz w:val="21"/>
      <w:szCs w:val="21"/>
      <w:u w:val="none"/>
    </w:rPr>
  </w:style>
  <w:style w:type="character" w:customStyle="1" w:styleId="7">
    <w:name w:val="font31"/>
    <w:basedOn w:val="4"/>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23</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2025-03-27T00:22:00Z</dcterms:created>
  <dc:creator>雪莉永远的苏格爸爸</dc:creator>
  <cp:lastModifiedBy>雪莉永远的苏格爸爸</cp:lastModifiedBy>
  <dcterms:modified xsi:type="dcterms:W3CDTF">2025-03-27T01:29:57Z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1FAF0AB7F1094782A9412D611793D1A0_11</vt:lpwstr>
  </property>
  <property fmtid="{D5CDD505-2E9C-101B-9397-08002B2CF9AE}" pid="4" name="KSOTemplateDocerSaveRecord">
    <vt:lpwstr>eyJoZGlkIjoiNjY5ZWNmODk5NzJhMDk0MmE3NDE0MDY1MzVkYmM2NGUiLCJ1c2VySWQiOiIzNTQxOTk2ODUifQ==</vt:lpwstr>
  </property>
</Properties>
</file>