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E8D62">
      <w:pPr>
        <w:numPr>
          <w:ilvl w:val="0"/>
          <w:numId w:val="0"/>
        </w:numPr>
        <w:spacing w:line="360" w:lineRule="auto"/>
        <w:rPr>
          <w:rFonts w:hint="default" w:ascii="仿宋" w:hAnsi="仿宋" w:eastAsia="仿宋" w:cs="仿宋"/>
          <w:b/>
          <w:bCs/>
          <w:i w:val="0"/>
          <w:iCs w:val="0"/>
          <w:caps w:val="0"/>
          <w:color w:val="3E3E3E"/>
          <w:spacing w:val="23"/>
          <w:kern w:val="0"/>
          <w:sz w:val="32"/>
          <w:szCs w:val="32"/>
          <w:shd w:val="clear" w:fill="FFFFFF"/>
          <w:lang w:val="en-US" w:eastAsia="zh-CN" w:bidi="ar"/>
        </w:rPr>
      </w:pPr>
      <w:r>
        <w:rPr>
          <w:rFonts w:hint="eastAsia" w:ascii="仿宋" w:hAnsi="仿宋" w:eastAsia="仿宋" w:cs="仿宋"/>
          <w:b/>
          <w:bCs/>
          <w:i w:val="0"/>
          <w:iCs w:val="0"/>
          <w:caps w:val="0"/>
          <w:color w:val="3E3E3E"/>
          <w:spacing w:val="23"/>
          <w:kern w:val="0"/>
          <w:sz w:val="32"/>
          <w:szCs w:val="32"/>
          <w:shd w:val="clear" w:fill="FFFFFF"/>
          <w:lang w:val="en-US" w:eastAsia="zh-CN" w:bidi="ar"/>
        </w:rPr>
        <w:t>附件2：</w:t>
      </w:r>
    </w:p>
    <w:p w14:paraId="40E91307">
      <w:pPr>
        <w:numPr>
          <w:ilvl w:val="0"/>
          <w:numId w:val="0"/>
        </w:numPr>
        <w:spacing w:line="240" w:lineRule="auto"/>
        <w:jc w:val="center"/>
        <w:rPr>
          <w:rFonts w:hint="eastAsia"/>
          <w:color w:val="auto"/>
          <w:sz w:val="44"/>
          <w:szCs w:val="44"/>
          <w:lang w:val="en-US" w:eastAsia="zh-CN"/>
        </w:rPr>
      </w:pPr>
      <w:r>
        <w:rPr>
          <w:rFonts w:hint="eastAsia"/>
          <w:color w:val="auto"/>
          <w:sz w:val="44"/>
          <w:szCs w:val="44"/>
          <w:lang w:val="en-US" w:eastAsia="zh-CN"/>
        </w:rPr>
        <w:t>财务电子票据系统功能需求</w:t>
      </w:r>
    </w:p>
    <w:p w14:paraId="3884633C">
      <w:pPr>
        <w:numPr>
          <w:ilvl w:val="0"/>
          <w:numId w:val="0"/>
        </w:numPr>
        <w:spacing w:line="240" w:lineRule="auto"/>
        <w:jc w:val="center"/>
        <w:rPr>
          <w:rFonts w:hint="default"/>
          <w:color w:val="auto"/>
          <w:sz w:val="44"/>
          <w:szCs w:val="44"/>
          <w:lang w:val="en-US" w:eastAsia="zh-CN"/>
        </w:rPr>
      </w:pPr>
    </w:p>
    <w:p w14:paraId="1AD1F169">
      <w:pPr>
        <w:numPr>
          <w:ilvl w:val="0"/>
          <w:numId w:val="0"/>
        </w:numPr>
        <w:spacing w:line="360" w:lineRule="auto"/>
        <w:ind w:firstLine="735" w:firstLineChars="200"/>
        <w:rPr>
          <w:rFonts w:hint="default" w:ascii="仿宋" w:hAnsi="仿宋" w:eastAsia="仿宋" w:cs="仿宋"/>
          <w:b/>
          <w:bCs/>
          <w:i w:val="0"/>
          <w:iCs w:val="0"/>
          <w:caps w:val="0"/>
          <w:color w:val="3E3E3E"/>
          <w:spacing w:val="23"/>
          <w:kern w:val="0"/>
          <w:sz w:val="32"/>
          <w:szCs w:val="32"/>
          <w:shd w:val="clear" w:fill="FFFFFF"/>
          <w:lang w:val="en-US" w:eastAsia="zh-CN" w:bidi="ar"/>
        </w:rPr>
      </w:pPr>
      <w:r>
        <w:rPr>
          <w:rFonts w:hint="default" w:ascii="仿宋" w:hAnsi="仿宋" w:eastAsia="仿宋" w:cs="仿宋"/>
          <w:b/>
          <w:bCs/>
          <w:i w:val="0"/>
          <w:iCs w:val="0"/>
          <w:caps w:val="0"/>
          <w:color w:val="3E3E3E"/>
          <w:spacing w:val="23"/>
          <w:kern w:val="0"/>
          <w:sz w:val="32"/>
          <w:szCs w:val="32"/>
          <w:shd w:val="clear" w:fill="FFFFFF"/>
          <w:lang w:val="en-US" w:eastAsia="zh-CN" w:bidi="ar"/>
        </w:rPr>
        <w:t>（一）财政医疗收费电子票据管理</w:t>
      </w:r>
    </w:p>
    <w:p w14:paraId="1C1D6ACF">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医院通过接口服务，对接平台实现以下功能：</w:t>
      </w:r>
    </w:p>
    <w:p w14:paraId="2D79E385">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1.就诊人在医院门诊或者住院部完成缴费</w:t>
      </w:r>
      <w:bookmarkStart w:id="0" w:name="_GoBack"/>
      <w:bookmarkEnd w:id="0"/>
      <w:r>
        <w:rPr>
          <w:rFonts w:hint="default" w:ascii="仿宋" w:hAnsi="仿宋" w:eastAsia="仿宋" w:cs="仿宋"/>
          <w:i w:val="0"/>
          <w:iCs w:val="0"/>
          <w:caps w:val="0"/>
          <w:color w:val="3E3E3E"/>
          <w:spacing w:val="23"/>
          <w:kern w:val="0"/>
          <w:sz w:val="32"/>
          <w:szCs w:val="32"/>
          <w:shd w:val="clear" w:fill="FFFFFF"/>
          <w:lang w:val="en-US" w:eastAsia="zh-CN" w:bidi="ar"/>
        </w:rPr>
        <w:t>后，</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票据系统能够接收医院HIS系统相关缴费结算信息，实时开具医疗收费电子票据，并将开具结果返回HIS系统。</w:t>
      </w:r>
    </w:p>
    <w:p w14:paraId="5E6CF7F0">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2.就诊人发生退费业务时，</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票据系统接收HIS系统票据冲红请求，完成原电子票据的冲红操作，并将结果返回HIS系统，完成退费业务。</w:t>
      </w:r>
    </w:p>
    <w:p w14:paraId="00DF9184">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3.</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票据系统需支持在线打印和</w:t>
      </w:r>
      <w:r>
        <w:rPr>
          <w:rFonts w:hint="eastAsia" w:ascii="仿宋" w:hAnsi="仿宋" w:eastAsia="仿宋" w:cs="仿宋"/>
          <w:i w:val="0"/>
          <w:iCs w:val="0"/>
          <w:caps w:val="0"/>
          <w:color w:val="3E3E3E"/>
          <w:spacing w:val="23"/>
          <w:kern w:val="0"/>
          <w:sz w:val="32"/>
          <w:szCs w:val="32"/>
          <w:shd w:val="clear" w:fill="FFFFFF"/>
          <w:lang w:val="en-US" w:eastAsia="zh-CN" w:bidi="ar"/>
        </w:rPr>
        <w:t>线下</w:t>
      </w:r>
      <w:r>
        <w:rPr>
          <w:rFonts w:hint="default" w:ascii="仿宋" w:hAnsi="仿宋" w:eastAsia="仿宋" w:cs="仿宋"/>
          <w:i w:val="0"/>
          <w:iCs w:val="0"/>
          <w:caps w:val="0"/>
          <w:color w:val="3E3E3E"/>
          <w:spacing w:val="23"/>
          <w:kern w:val="0"/>
          <w:sz w:val="32"/>
          <w:szCs w:val="32"/>
          <w:shd w:val="clear" w:fill="FFFFFF"/>
          <w:lang w:val="en-US" w:eastAsia="zh-CN" w:bidi="ar"/>
        </w:rPr>
        <w:t>打印，就诊人如需打印医疗收费电子票据板式文件，可前往医院窗口或者自助机完成个人医疗收费电子票据的打印。</w:t>
      </w:r>
    </w:p>
    <w:p w14:paraId="7D9214A5">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4.</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票据系统应提供与医院HIS系统业务数据核对功能，保证数据准确无误，支持人工、系统自动逐笔或批量对账，排查纠错。同时，针对异常数据问题，</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票据系统应提供相应处理机制，方便问题及时解决。</w:t>
      </w:r>
    </w:p>
    <w:p w14:paraId="71B25E39">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5.根据医院业务特征，</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票据系统须有应急机制，保证在发生突发网络故障等不确定因素时，HIS系统收费业务不中断，网络恢复后，平台可自动推送因网络中断未传输的数据，完成开票。</w:t>
      </w:r>
    </w:p>
    <w:p w14:paraId="2206957A">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6.根据财政部、卫健委、医保局财综【2019】29号文的文件要求，</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票据系统需具有最新全国统一财政医疗电子票据相关规范、票据样式、电子清单明细。</w:t>
      </w:r>
    </w:p>
    <w:p w14:paraId="59D13A17">
      <w:pPr>
        <w:numPr>
          <w:ilvl w:val="0"/>
          <w:numId w:val="0"/>
        </w:numPr>
        <w:spacing w:line="360" w:lineRule="auto"/>
        <w:ind w:firstLine="735" w:firstLineChars="200"/>
        <w:rPr>
          <w:rFonts w:hint="default" w:ascii="仿宋" w:hAnsi="仿宋" w:eastAsia="仿宋" w:cs="仿宋"/>
          <w:b/>
          <w:bCs/>
          <w:i w:val="0"/>
          <w:iCs w:val="0"/>
          <w:caps w:val="0"/>
          <w:color w:val="3E3E3E"/>
          <w:spacing w:val="23"/>
          <w:kern w:val="0"/>
          <w:sz w:val="32"/>
          <w:szCs w:val="32"/>
          <w:shd w:val="clear" w:fill="FFFFFF"/>
          <w:lang w:val="en-US" w:eastAsia="zh-CN" w:bidi="ar"/>
        </w:rPr>
      </w:pPr>
      <w:r>
        <w:rPr>
          <w:rFonts w:hint="default" w:ascii="仿宋" w:hAnsi="仿宋" w:eastAsia="仿宋" w:cs="仿宋"/>
          <w:b/>
          <w:bCs/>
          <w:i w:val="0"/>
          <w:iCs w:val="0"/>
          <w:caps w:val="0"/>
          <w:color w:val="3E3E3E"/>
          <w:spacing w:val="23"/>
          <w:kern w:val="0"/>
          <w:sz w:val="32"/>
          <w:szCs w:val="32"/>
          <w:shd w:val="clear" w:fill="FFFFFF"/>
          <w:lang w:val="en-US" w:eastAsia="zh-CN" w:bidi="ar"/>
        </w:rPr>
        <w:t>（二）住院预交金电子凭证管理</w:t>
      </w:r>
    </w:p>
    <w:p w14:paraId="0DACFC0C">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医院通过接口服务，对接平台实现以下功能：</w:t>
      </w:r>
    </w:p>
    <w:p w14:paraId="2E8F4B54">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1.开具：就诊人通过窗口、微信等渠道办理入院手续，缴存预交金后，HIS系统通过与</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票据系统对接，请求生成预交金电子凭证，实现智能开具预交金电子凭证。</w:t>
      </w:r>
    </w:p>
    <w:p w14:paraId="5114A361">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2.冲红：就诊人通过窗口办理预交金退款或者出院结算手续，HIS系统通过接口向</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票据系统请求预交金电子凭证冲红操作，</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票据系统完成预交金电子凭证冲红，更新退款或出院结算状态，并返回HIS系统，完成退款或出院结算流程。</w:t>
      </w:r>
    </w:p>
    <w:p w14:paraId="5075157A">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3.交付：</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票据系统需支持与多交付渠道对接，预交金电子凭证开具成功后，返回预交金凭证信息HIS系统，就诊人可通过短信、微信/支付宝、医院APP、公众号等方式获取预交金缴存记录明细、电子凭证。</w:t>
      </w:r>
    </w:p>
    <w:p w14:paraId="34C333F5">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4.统计：</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票据系统需提供多维度数据统计功能。如：可以通过缴款人名称、缴款方式、缴款金额、开具日期、开具笔数，冲红笔数等信息进行统计汇总，可导出统计表格。</w:t>
      </w:r>
    </w:p>
    <w:p w14:paraId="11B69A3E">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5.除通过接口，HIS系统传输生成预交金电子凭证外，还支持通过</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票据系统直接开具预交金电子凭证。</w:t>
      </w:r>
    </w:p>
    <w:p w14:paraId="00BBDA05">
      <w:pPr>
        <w:numPr>
          <w:ilvl w:val="0"/>
          <w:numId w:val="0"/>
        </w:numPr>
        <w:spacing w:line="360" w:lineRule="auto"/>
        <w:ind w:firstLine="735" w:firstLineChars="200"/>
        <w:rPr>
          <w:rFonts w:hint="default" w:ascii="仿宋" w:hAnsi="仿宋" w:eastAsia="仿宋" w:cs="仿宋"/>
          <w:b/>
          <w:bCs/>
          <w:i w:val="0"/>
          <w:iCs w:val="0"/>
          <w:caps w:val="0"/>
          <w:color w:val="3E3E3E"/>
          <w:spacing w:val="23"/>
          <w:kern w:val="0"/>
          <w:sz w:val="32"/>
          <w:szCs w:val="32"/>
          <w:shd w:val="clear" w:fill="FFFFFF"/>
          <w:lang w:val="en-US" w:eastAsia="zh-CN" w:bidi="ar"/>
        </w:rPr>
      </w:pPr>
      <w:r>
        <w:rPr>
          <w:rFonts w:hint="default" w:ascii="仿宋" w:hAnsi="仿宋" w:eastAsia="仿宋" w:cs="仿宋"/>
          <w:b/>
          <w:bCs/>
          <w:i w:val="0"/>
          <w:iCs w:val="0"/>
          <w:caps w:val="0"/>
          <w:color w:val="3E3E3E"/>
          <w:spacing w:val="23"/>
          <w:kern w:val="0"/>
          <w:sz w:val="32"/>
          <w:szCs w:val="32"/>
          <w:shd w:val="clear" w:fill="FFFFFF"/>
          <w:lang w:val="en-US" w:eastAsia="zh-CN" w:bidi="ar"/>
        </w:rPr>
        <w:t>（三）增值税电子发票管理</w:t>
      </w:r>
    </w:p>
    <w:p w14:paraId="104B74BB">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1.增值税电子发票系统业务流程</w:t>
      </w:r>
    </w:p>
    <w:p w14:paraId="3102001B">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依照增值税电子发票子系统提供的标准电子发票API接口文档（电子发票开具接口、发票查询接口）改造收费系统，实现如下：</w:t>
      </w:r>
    </w:p>
    <w:p w14:paraId="47239A14">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eastAsia" w:ascii="仿宋" w:hAnsi="仿宋" w:eastAsia="仿宋" w:cs="仿宋"/>
          <w:i w:val="0"/>
          <w:iCs w:val="0"/>
          <w:caps w:val="0"/>
          <w:color w:val="3E3E3E"/>
          <w:spacing w:val="23"/>
          <w:kern w:val="0"/>
          <w:sz w:val="32"/>
          <w:szCs w:val="32"/>
          <w:shd w:val="clear" w:fill="FFFFFF"/>
          <w:lang w:val="en-US" w:eastAsia="zh-CN" w:bidi="ar"/>
        </w:rPr>
        <w:t>（1）</w:t>
      </w:r>
      <w:r>
        <w:rPr>
          <w:rFonts w:hint="default" w:ascii="仿宋" w:hAnsi="仿宋" w:eastAsia="仿宋" w:cs="仿宋"/>
          <w:i w:val="0"/>
          <w:iCs w:val="0"/>
          <w:caps w:val="0"/>
          <w:color w:val="3E3E3E"/>
          <w:spacing w:val="23"/>
          <w:kern w:val="0"/>
          <w:sz w:val="32"/>
          <w:szCs w:val="32"/>
          <w:shd w:val="clear" w:fill="FFFFFF"/>
          <w:lang w:val="en-US" w:eastAsia="zh-CN" w:bidi="ar"/>
        </w:rPr>
        <w:t>工作人员在院方收费系统预先初始化客户的基本信息，包含手机号码、邮箱等信息。</w:t>
      </w:r>
    </w:p>
    <w:p w14:paraId="6C947678">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eastAsia" w:ascii="仿宋" w:hAnsi="仿宋" w:eastAsia="仿宋" w:cs="仿宋"/>
          <w:i w:val="0"/>
          <w:iCs w:val="0"/>
          <w:caps w:val="0"/>
          <w:color w:val="3E3E3E"/>
          <w:spacing w:val="23"/>
          <w:kern w:val="0"/>
          <w:sz w:val="32"/>
          <w:szCs w:val="32"/>
          <w:shd w:val="clear" w:fill="FFFFFF"/>
          <w:lang w:val="en-US" w:eastAsia="zh-CN" w:bidi="ar"/>
        </w:rPr>
        <w:t>（2）</w:t>
      </w:r>
      <w:r>
        <w:rPr>
          <w:rFonts w:hint="default" w:ascii="仿宋" w:hAnsi="仿宋" w:eastAsia="仿宋" w:cs="仿宋"/>
          <w:i w:val="0"/>
          <w:iCs w:val="0"/>
          <w:caps w:val="0"/>
          <w:color w:val="3E3E3E"/>
          <w:spacing w:val="23"/>
          <w:kern w:val="0"/>
          <w:sz w:val="32"/>
          <w:szCs w:val="32"/>
          <w:shd w:val="clear" w:fill="FFFFFF"/>
          <w:lang w:val="en-US" w:eastAsia="zh-CN" w:bidi="ar"/>
        </w:rPr>
        <w:t>工作人员在核实缴费情况以后，开票员通过院方收费系统选择相对应的业务订单发起开票请求，收费系统根据初始化好的客户信息系统将开票数据上传。</w:t>
      </w:r>
    </w:p>
    <w:p w14:paraId="1111BD19">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eastAsia" w:ascii="仿宋" w:hAnsi="仿宋" w:eastAsia="仿宋" w:cs="仿宋"/>
          <w:i w:val="0"/>
          <w:iCs w:val="0"/>
          <w:caps w:val="0"/>
          <w:color w:val="3E3E3E"/>
          <w:spacing w:val="23"/>
          <w:kern w:val="0"/>
          <w:sz w:val="32"/>
          <w:szCs w:val="32"/>
          <w:shd w:val="clear" w:fill="FFFFFF"/>
          <w:lang w:val="en-US" w:eastAsia="zh-CN" w:bidi="ar"/>
        </w:rPr>
        <w:t>（3）</w:t>
      </w:r>
      <w:r>
        <w:rPr>
          <w:rFonts w:hint="default" w:ascii="仿宋" w:hAnsi="仿宋" w:eastAsia="仿宋" w:cs="仿宋"/>
          <w:i w:val="0"/>
          <w:iCs w:val="0"/>
          <w:caps w:val="0"/>
          <w:color w:val="3E3E3E"/>
          <w:spacing w:val="23"/>
          <w:kern w:val="0"/>
          <w:sz w:val="32"/>
          <w:szCs w:val="32"/>
          <w:shd w:val="clear" w:fill="FFFFFF"/>
          <w:lang w:val="en-US" w:eastAsia="zh-CN" w:bidi="ar"/>
        </w:rPr>
        <w:t>电子发票子系统接收到院方收费系统上传的开具数据后自动完成开票请求处理，并将开具成功的电子发票PDF板式文件通过短信、邮件、支付宝、微信等多种方式推送给消费者。</w:t>
      </w:r>
    </w:p>
    <w:p w14:paraId="42289878">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eastAsia" w:ascii="仿宋" w:hAnsi="仿宋" w:eastAsia="仿宋" w:cs="仿宋"/>
          <w:i w:val="0"/>
          <w:iCs w:val="0"/>
          <w:caps w:val="0"/>
          <w:color w:val="3E3E3E"/>
          <w:spacing w:val="23"/>
          <w:kern w:val="0"/>
          <w:sz w:val="32"/>
          <w:szCs w:val="32"/>
          <w:shd w:val="clear" w:fill="FFFFFF"/>
          <w:lang w:val="en-US" w:eastAsia="zh-CN" w:bidi="ar"/>
        </w:rPr>
        <w:t>（4）</w:t>
      </w:r>
      <w:r>
        <w:rPr>
          <w:rFonts w:hint="default" w:ascii="仿宋" w:hAnsi="仿宋" w:eastAsia="仿宋" w:cs="仿宋"/>
          <w:i w:val="0"/>
          <w:iCs w:val="0"/>
          <w:caps w:val="0"/>
          <w:color w:val="3E3E3E"/>
          <w:spacing w:val="23"/>
          <w:kern w:val="0"/>
          <w:sz w:val="32"/>
          <w:szCs w:val="32"/>
          <w:shd w:val="clear" w:fill="FFFFFF"/>
          <w:lang w:val="en-US" w:eastAsia="zh-CN" w:bidi="ar"/>
        </w:rPr>
        <w:t>电子发票子系统支持所有开票流程的前端与后端，包括增值税电子普通发票信息填写，申请开具、数据校验、提交开票、发票开具结果数据回传、发票下发等功能。</w:t>
      </w:r>
    </w:p>
    <w:p w14:paraId="7A6E6F4C">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eastAsia" w:ascii="仿宋" w:hAnsi="仿宋" w:eastAsia="仿宋" w:cs="仿宋"/>
          <w:i w:val="0"/>
          <w:iCs w:val="0"/>
          <w:caps w:val="0"/>
          <w:color w:val="3E3E3E"/>
          <w:spacing w:val="23"/>
          <w:kern w:val="0"/>
          <w:sz w:val="32"/>
          <w:szCs w:val="32"/>
          <w:shd w:val="clear" w:fill="FFFFFF"/>
          <w:lang w:val="en-US" w:eastAsia="zh-CN" w:bidi="ar"/>
        </w:rPr>
        <w:t>（5）</w:t>
      </w:r>
      <w:r>
        <w:rPr>
          <w:rFonts w:hint="default" w:ascii="仿宋" w:hAnsi="仿宋" w:eastAsia="仿宋" w:cs="仿宋"/>
          <w:i w:val="0"/>
          <w:iCs w:val="0"/>
          <w:caps w:val="0"/>
          <w:color w:val="3E3E3E"/>
          <w:spacing w:val="23"/>
          <w:kern w:val="0"/>
          <w:sz w:val="32"/>
          <w:szCs w:val="32"/>
          <w:shd w:val="clear" w:fill="FFFFFF"/>
          <w:lang w:val="en-US" w:eastAsia="zh-CN" w:bidi="ar"/>
        </w:rPr>
        <w:t>电子发票开具同时支持手工开票以及根据待开发票数据开具发票。</w:t>
      </w:r>
    </w:p>
    <w:p w14:paraId="1D72F031">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2.增值税电子发票系统功能</w:t>
      </w:r>
    </w:p>
    <w:p w14:paraId="070B1037">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（1）电子发票管理</w:t>
      </w:r>
    </w:p>
    <w:p w14:paraId="3AAD6AE6">
      <w:pPr>
        <w:numPr>
          <w:ilvl w:val="0"/>
          <w:numId w:val="0"/>
        </w:numPr>
        <w:spacing w:line="360" w:lineRule="auto"/>
        <w:ind w:firstLine="366" w:firstLineChars="1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电子发票开具</w:t>
      </w:r>
      <w:r>
        <w:rPr>
          <w:rFonts w:hint="eastAsia" w:ascii="仿宋" w:hAnsi="仿宋" w:eastAsia="仿宋" w:cs="仿宋"/>
          <w:i w:val="0"/>
          <w:iCs w:val="0"/>
          <w:caps w:val="0"/>
          <w:color w:val="3E3E3E"/>
          <w:spacing w:val="23"/>
          <w:kern w:val="0"/>
          <w:sz w:val="32"/>
          <w:szCs w:val="32"/>
          <w:shd w:val="clear" w:fill="FFFFFF"/>
          <w:lang w:val="en-US" w:eastAsia="zh-CN" w:bidi="ar"/>
        </w:rPr>
        <w:t>—</w:t>
      </w:r>
      <w:r>
        <w:rPr>
          <w:rFonts w:hint="default" w:ascii="仿宋" w:hAnsi="仿宋" w:eastAsia="仿宋" w:cs="仿宋"/>
          <w:i w:val="0"/>
          <w:iCs w:val="0"/>
          <w:caps w:val="0"/>
          <w:color w:val="3E3E3E"/>
          <w:spacing w:val="23"/>
          <w:kern w:val="0"/>
          <w:sz w:val="32"/>
          <w:szCs w:val="32"/>
          <w:shd w:val="clear" w:fill="FFFFFF"/>
          <w:lang w:val="en-US" w:eastAsia="zh-CN" w:bidi="ar"/>
        </w:rPr>
        <w:t>电子发票冲红</w:t>
      </w:r>
      <w:r>
        <w:rPr>
          <w:rFonts w:hint="eastAsia" w:ascii="仿宋" w:hAnsi="仿宋" w:eastAsia="仿宋" w:cs="仿宋"/>
          <w:i w:val="0"/>
          <w:iCs w:val="0"/>
          <w:caps w:val="0"/>
          <w:color w:val="3E3E3E"/>
          <w:spacing w:val="23"/>
          <w:kern w:val="0"/>
          <w:sz w:val="32"/>
          <w:szCs w:val="32"/>
          <w:shd w:val="clear" w:fill="FFFFFF"/>
          <w:lang w:val="en-US" w:eastAsia="zh-CN" w:bidi="ar"/>
        </w:rPr>
        <w:t>—</w:t>
      </w:r>
      <w:r>
        <w:rPr>
          <w:rFonts w:hint="default" w:ascii="仿宋" w:hAnsi="仿宋" w:eastAsia="仿宋" w:cs="仿宋"/>
          <w:i w:val="0"/>
          <w:iCs w:val="0"/>
          <w:caps w:val="0"/>
          <w:color w:val="3E3E3E"/>
          <w:spacing w:val="23"/>
          <w:kern w:val="0"/>
          <w:sz w:val="32"/>
          <w:szCs w:val="32"/>
          <w:shd w:val="clear" w:fill="FFFFFF"/>
          <w:lang w:val="en-US" w:eastAsia="zh-CN" w:bidi="ar"/>
        </w:rPr>
        <w:t>待开发票查询</w:t>
      </w:r>
      <w:r>
        <w:rPr>
          <w:rFonts w:hint="eastAsia" w:ascii="仿宋" w:hAnsi="仿宋" w:eastAsia="仿宋" w:cs="仿宋"/>
          <w:i w:val="0"/>
          <w:iCs w:val="0"/>
          <w:caps w:val="0"/>
          <w:color w:val="3E3E3E"/>
          <w:spacing w:val="23"/>
          <w:kern w:val="0"/>
          <w:sz w:val="32"/>
          <w:szCs w:val="32"/>
          <w:shd w:val="clear" w:fill="FFFFFF"/>
          <w:lang w:val="en-US" w:eastAsia="zh-CN" w:bidi="ar"/>
        </w:rPr>
        <w:t>—</w:t>
      </w:r>
      <w:r>
        <w:rPr>
          <w:rFonts w:hint="default" w:ascii="仿宋" w:hAnsi="仿宋" w:eastAsia="仿宋" w:cs="仿宋"/>
          <w:i w:val="0"/>
          <w:iCs w:val="0"/>
          <w:caps w:val="0"/>
          <w:color w:val="3E3E3E"/>
          <w:spacing w:val="23"/>
          <w:kern w:val="0"/>
          <w:sz w:val="32"/>
          <w:szCs w:val="32"/>
          <w:shd w:val="clear" w:fill="FFFFFF"/>
          <w:lang w:val="en-US" w:eastAsia="zh-CN" w:bidi="ar"/>
        </w:rPr>
        <w:t>已开发票管理</w:t>
      </w:r>
    </w:p>
    <w:p w14:paraId="5070EABB">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（2）电子发票查询统计</w:t>
      </w:r>
    </w:p>
    <w:p w14:paraId="45627606">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系统提供电子票据赋码、开具、库存等业务内容，纸质票据打印、库存等业务内容的查询和统计功能，采用多维度统计生成统计报表信息</w:t>
      </w:r>
    </w:p>
    <w:p w14:paraId="029CD5B8">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电子发票开具查询</w:t>
      </w:r>
      <w:r>
        <w:rPr>
          <w:rFonts w:hint="eastAsia" w:ascii="仿宋" w:hAnsi="仿宋" w:eastAsia="仿宋" w:cs="仿宋"/>
          <w:i w:val="0"/>
          <w:iCs w:val="0"/>
          <w:caps w:val="0"/>
          <w:color w:val="3E3E3E"/>
          <w:spacing w:val="23"/>
          <w:kern w:val="0"/>
          <w:sz w:val="32"/>
          <w:szCs w:val="32"/>
          <w:shd w:val="clear" w:fill="FFFFFF"/>
          <w:lang w:val="en-US" w:eastAsia="zh-CN" w:bidi="ar"/>
        </w:rPr>
        <w:t>—</w:t>
      </w:r>
      <w:r>
        <w:rPr>
          <w:rFonts w:hint="default" w:ascii="仿宋" w:hAnsi="仿宋" w:eastAsia="仿宋" w:cs="仿宋"/>
          <w:i w:val="0"/>
          <w:iCs w:val="0"/>
          <w:caps w:val="0"/>
          <w:color w:val="3E3E3E"/>
          <w:spacing w:val="23"/>
          <w:kern w:val="0"/>
          <w:sz w:val="32"/>
          <w:szCs w:val="32"/>
          <w:shd w:val="clear" w:fill="FFFFFF"/>
          <w:lang w:val="en-US" w:eastAsia="zh-CN" w:bidi="ar"/>
        </w:rPr>
        <w:t>开具汇总统计</w:t>
      </w:r>
      <w:r>
        <w:rPr>
          <w:rFonts w:hint="eastAsia" w:ascii="仿宋" w:hAnsi="仿宋" w:eastAsia="仿宋" w:cs="仿宋"/>
          <w:i w:val="0"/>
          <w:iCs w:val="0"/>
          <w:caps w:val="0"/>
          <w:color w:val="3E3E3E"/>
          <w:spacing w:val="23"/>
          <w:kern w:val="0"/>
          <w:sz w:val="32"/>
          <w:szCs w:val="32"/>
          <w:shd w:val="clear" w:fill="FFFFFF"/>
          <w:lang w:val="en-US" w:eastAsia="zh-CN" w:bidi="ar"/>
        </w:rPr>
        <w:t>—</w:t>
      </w:r>
      <w:r>
        <w:rPr>
          <w:rFonts w:hint="default" w:ascii="仿宋" w:hAnsi="仿宋" w:eastAsia="仿宋" w:cs="仿宋"/>
          <w:i w:val="0"/>
          <w:iCs w:val="0"/>
          <w:caps w:val="0"/>
          <w:color w:val="3E3E3E"/>
          <w:spacing w:val="23"/>
          <w:kern w:val="0"/>
          <w:sz w:val="32"/>
          <w:szCs w:val="32"/>
          <w:shd w:val="clear" w:fill="FFFFFF"/>
          <w:lang w:val="en-US" w:eastAsia="zh-CN" w:bidi="ar"/>
        </w:rPr>
        <w:t>日开具情况统计</w:t>
      </w:r>
    </w:p>
    <w:p w14:paraId="1F17CF2B">
      <w:pPr>
        <w:numPr>
          <w:ilvl w:val="0"/>
          <w:numId w:val="0"/>
        </w:numPr>
        <w:spacing w:line="360" w:lineRule="auto"/>
        <w:ind w:firstLine="735" w:firstLineChars="200"/>
        <w:rPr>
          <w:rFonts w:hint="default" w:ascii="仿宋" w:hAnsi="仿宋" w:eastAsia="仿宋" w:cs="仿宋"/>
          <w:b/>
          <w:bCs/>
          <w:i w:val="0"/>
          <w:iCs w:val="0"/>
          <w:caps w:val="0"/>
          <w:color w:val="3E3E3E"/>
          <w:spacing w:val="23"/>
          <w:kern w:val="0"/>
          <w:sz w:val="32"/>
          <w:szCs w:val="32"/>
          <w:shd w:val="clear" w:fill="FFFFFF"/>
          <w:lang w:val="en-US" w:eastAsia="zh-CN" w:bidi="ar"/>
        </w:rPr>
      </w:pPr>
      <w:r>
        <w:rPr>
          <w:rFonts w:hint="default" w:ascii="仿宋" w:hAnsi="仿宋" w:eastAsia="仿宋" w:cs="仿宋"/>
          <w:b/>
          <w:bCs/>
          <w:i w:val="0"/>
          <w:iCs w:val="0"/>
          <w:caps w:val="0"/>
          <w:color w:val="3E3E3E"/>
          <w:spacing w:val="23"/>
          <w:kern w:val="0"/>
          <w:sz w:val="32"/>
          <w:szCs w:val="32"/>
          <w:shd w:val="clear" w:fill="FFFFFF"/>
          <w:lang w:val="en-US" w:eastAsia="zh-CN" w:bidi="ar"/>
        </w:rPr>
        <w:t>（四）财务管理</w:t>
      </w:r>
    </w:p>
    <w:p w14:paraId="4A498BD2">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医院通过接口服务，对接平台实现以下功能：</w:t>
      </w:r>
    </w:p>
    <w:p w14:paraId="7B9C3118">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1.资金往来、捐赠、非税收入等其他财政电子票据在线开具：</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票据系统须支持资金往来、捐赠、非税收入等其他财政电子票据在线开具、冲红，包括单笔录入与批量导入。</w:t>
      </w:r>
    </w:p>
    <w:p w14:paraId="4EF2B971">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2.财政票据销毁：按照财政部文件要求，财政电子票据保管期限最低为30年，医院需要对已经超过保管期限的财政电子票据进行销毁，提高资源使用效率。</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票据系统须提供票据销毁功能，方便业务人员及时销毁已经过保管期限的财政票据。</w:t>
      </w:r>
    </w:p>
    <w:p w14:paraId="2F25BAD9">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3.电子票据记账：通过医院财务系统接口实现电子票据入账。支持电子票据汇总单记账：医院财务人员通过</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票据系统定时或手动生成电子票据汇总单。</w:t>
      </w:r>
    </w:p>
    <w:p w14:paraId="04471508">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4.对账管理：由医院HIS系统提供收费结算数据与</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票据系统的开票数据信息进行对账，对账方式可分为系统之间自动对账和手动打印汇总单对账。</w:t>
      </w:r>
    </w:p>
    <w:p w14:paraId="117EF405">
      <w:pPr>
        <w:numPr>
          <w:ilvl w:val="0"/>
          <w:numId w:val="0"/>
        </w:numPr>
        <w:spacing w:line="360" w:lineRule="auto"/>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5.统计分析：</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应提供基本的统计报表，包含包括库存结余表、票据领发情况、票据冲红情况、开票明细表、开票汇总表、收费情况表、收费员汇总表、缴款渠道汇总表、住院处日报明细表等，同时支持按照医院需要定制相关报表。</w:t>
      </w:r>
    </w:p>
    <w:p w14:paraId="0E4BE629">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6.系统管理：</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票据系统应提供此功能，方便医院管理人员维护系统信息，包含开票点、用户、票据种类、收费项目等基础信息增加删除或变动操作。</w:t>
      </w:r>
    </w:p>
    <w:p w14:paraId="24090A6B">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7.日志跟踪查询功能，</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票据系统应提供对应日志操作记录，方便异常问题排查和解决。</w:t>
      </w:r>
    </w:p>
    <w:p w14:paraId="504CEC0F">
      <w:pPr>
        <w:numPr>
          <w:ilvl w:val="0"/>
          <w:numId w:val="0"/>
        </w:numPr>
        <w:spacing w:line="360" w:lineRule="auto"/>
        <w:ind w:firstLine="735" w:firstLineChars="200"/>
        <w:rPr>
          <w:rFonts w:hint="default" w:ascii="仿宋" w:hAnsi="仿宋" w:eastAsia="仿宋" w:cs="仿宋"/>
          <w:b/>
          <w:bCs/>
          <w:i w:val="0"/>
          <w:iCs w:val="0"/>
          <w:caps w:val="0"/>
          <w:color w:val="3E3E3E"/>
          <w:spacing w:val="23"/>
          <w:kern w:val="0"/>
          <w:sz w:val="32"/>
          <w:szCs w:val="32"/>
          <w:shd w:val="clear" w:fill="FFFFFF"/>
          <w:lang w:val="en-US" w:eastAsia="zh-CN" w:bidi="ar"/>
        </w:rPr>
      </w:pPr>
      <w:r>
        <w:rPr>
          <w:rFonts w:hint="default" w:ascii="仿宋" w:hAnsi="仿宋" w:eastAsia="仿宋" w:cs="仿宋"/>
          <w:b/>
          <w:bCs/>
          <w:i w:val="0"/>
          <w:iCs w:val="0"/>
          <w:caps w:val="0"/>
          <w:color w:val="3E3E3E"/>
          <w:spacing w:val="23"/>
          <w:kern w:val="0"/>
          <w:sz w:val="32"/>
          <w:szCs w:val="32"/>
          <w:shd w:val="clear" w:fill="FFFFFF"/>
          <w:lang w:val="en-US" w:eastAsia="zh-CN" w:bidi="ar"/>
        </w:rPr>
        <w:t>（五）财政电子票据交付</w:t>
      </w:r>
    </w:p>
    <w:p w14:paraId="43746370">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医院通过接口服务，对接平台实现以下功能：</w:t>
      </w:r>
    </w:p>
    <w:p w14:paraId="60C17A3C">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平台提供票据交付的地址链接，供不同的交付途径调用该地址链接，完成票据交付。</w:t>
      </w:r>
    </w:p>
    <w:p w14:paraId="1ACEA8CF">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1.窗口回执凭条：窗口收费员通过HIS系统打印回执凭条交给就诊人，就诊人扫描凭条上的二维码，通过平台提供的地址链接查看到可供下载的电子票据。</w:t>
      </w:r>
    </w:p>
    <w:p w14:paraId="403332F3">
      <w:pPr>
        <w:numPr>
          <w:ilvl w:val="0"/>
          <w:numId w:val="0"/>
        </w:numPr>
        <w:spacing w:line="360" w:lineRule="auto"/>
        <w:ind w:firstLine="732" w:firstLineChars="200"/>
        <w:rPr>
          <w:rFonts w:hint="default" w:ascii="仿宋" w:hAnsi="仿宋" w:eastAsia="仿宋" w:cs="仿宋"/>
          <w:i w:val="0"/>
          <w:iCs w:val="0"/>
          <w:caps w:val="0"/>
          <w:color w:val="3E3E3E"/>
          <w:spacing w:val="23"/>
          <w:kern w:val="0"/>
          <w:sz w:val="32"/>
          <w:szCs w:val="32"/>
          <w:shd w:val="clear" w:fill="FFFFFF"/>
          <w:lang w:val="en-US" w:eastAsia="zh-CN" w:bidi="ar"/>
        </w:rPr>
      </w:pPr>
      <w:r>
        <w:rPr>
          <w:rFonts w:hint="default" w:ascii="仿宋" w:hAnsi="仿宋" w:eastAsia="仿宋" w:cs="仿宋"/>
          <w:i w:val="0"/>
          <w:iCs w:val="0"/>
          <w:caps w:val="0"/>
          <w:color w:val="3E3E3E"/>
          <w:spacing w:val="23"/>
          <w:kern w:val="0"/>
          <w:sz w:val="32"/>
          <w:szCs w:val="32"/>
          <w:shd w:val="clear" w:fill="FFFFFF"/>
          <w:lang w:val="en-US" w:eastAsia="zh-CN" w:bidi="ar"/>
        </w:rPr>
        <w:t>2.医院公众号/APP交付：缴款人关注医院公众号、生活号，</w:t>
      </w:r>
      <w:r>
        <w:rPr>
          <w:rFonts w:hint="eastAsia" w:ascii="仿宋" w:hAnsi="仿宋" w:eastAsia="仿宋" w:cs="仿宋"/>
          <w:i w:val="0"/>
          <w:iCs w:val="0"/>
          <w:caps w:val="0"/>
          <w:color w:val="3E3E3E"/>
          <w:spacing w:val="23"/>
          <w:kern w:val="0"/>
          <w:sz w:val="32"/>
          <w:szCs w:val="32"/>
          <w:shd w:val="clear" w:fill="FFFFFF"/>
          <w:lang w:val="en-US" w:eastAsia="zh-CN" w:bidi="ar"/>
        </w:rPr>
        <w:t>电子</w:t>
      </w:r>
      <w:r>
        <w:rPr>
          <w:rFonts w:hint="default" w:ascii="仿宋" w:hAnsi="仿宋" w:eastAsia="仿宋" w:cs="仿宋"/>
          <w:i w:val="0"/>
          <w:iCs w:val="0"/>
          <w:caps w:val="0"/>
          <w:color w:val="3E3E3E"/>
          <w:spacing w:val="23"/>
          <w:kern w:val="0"/>
          <w:sz w:val="32"/>
          <w:szCs w:val="32"/>
          <w:shd w:val="clear" w:fill="FFFFFF"/>
          <w:lang w:val="en-US" w:eastAsia="zh-CN" w:bidi="ar"/>
        </w:rPr>
        <w:t>票据系统开具电子票据成功后，缴款人在医院公众号、APP上通过票据交付的地址链接获取电子票据信息。</w:t>
      </w:r>
    </w:p>
    <w:p w14:paraId="09D7E07A">
      <w:pPr>
        <w:spacing w:line="360" w:lineRule="auto"/>
        <w:ind w:firstLine="732" w:firstLineChars="200"/>
        <w:rPr>
          <w:rFonts w:hint="eastAsia" w:ascii="仿宋" w:hAnsi="仿宋" w:eastAsia="仿宋" w:cs="仿宋"/>
          <w:i w:val="0"/>
          <w:iCs w:val="0"/>
          <w:caps w:val="0"/>
          <w:color w:val="3E3E3E"/>
          <w:spacing w:val="23"/>
          <w:kern w:val="0"/>
          <w:sz w:val="32"/>
          <w:szCs w:val="32"/>
          <w:shd w:val="clear" w:fill="FFFFFF"/>
          <w:lang w:val="en-US" w:eastAsia="zh-CN" w:bidi="ar"/>
        </w:rPr>
      </w:pPr>
      <w:r>
        <w:rPr>
          <w:rFonts w:hint="eastAsia" w:ascii="仿宋" w:hAnsi="仿宋" w:eastAsia="仿宋" w:cs="仿宋"/>
          <w:i w:val="0"/>
          <w:iCs w:val="0"/>
          <w:caps w:val="0"/>
          <w:color w:val="3E3E3E"/>
          <w:spacing w:val="23"/>
          <w:kern w:val="0"/>
          <w:sz w:val="32"/>
          <w:szCs w:val="32"/>
          <w:shd w:val="clear" w:fill="FFFFFF"/>
          <w:lang w:val="en-US" w:eastAsia="zh-CN" w:bidi="ar"/>
        </w:rPr>
        <w:t>3</w:t>
      </w:r>
      <w:r>
        <w:rPr>
          <w:rFonts w:hint="default" w:ascii="仿宋" w:hAnsi="仿宋" w:eastAsia="仿宋" w:cs="仿宋"/>
          <w:i w:val="0"/>
          <w:iCs w:val="0"/>
          <w:caps w:val="0"/>
          <w:color w:val="3E3E3E"/>
          <w:spacing w:val="23"/>
          <w:kern w:val="0"/>
          <w:sz w:val="32"/>
          <w:szCs w:val="32"/>
          <w:shd w:val="clear" w:fill="FFFFFF"/>
          <w:lang w:val="en-US" w:eastAsia="zh-CN" w:bidi="ar"/>
        </w:rPr>
        <w:t>.财政服务网站取票：就诊人可通过登录广西壮族自治区财政厅建设的广西壮族自治区财政电子票据公共服务平台，根据电子票据相关要素获取电子票据，可以根据需要下载打印。</w:t>
      </w:r>
    </w:p>
    <w:p w14:paraId="4C0DEA0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CF3E22"/>
    <w:rsid w:val="00A22025"/>
    <w:rsid w:val="13F716FC"/>
    <w:rsid w:val="60C912B1"/>
    <w:rsid w:val="703917AD"/>
    <w:rsid w:val="74CF3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2279</Words>
  <Characters>2344</Characters>
  <Lines>0</Lines>
  <Paragraphs>0</Paragraphs>
  <TotalTime>0</TotalTime>
  <ScaleCrop>false</ScaleCrop>
  <LinksUpToDate>false</LinksUpToDate>
  <CharactersWithSpaces>2344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2025-09-16T03:53:00Z</dcterms:created>
  <dc:creator>雪莉永远的苏格爸爸</dc:creator>
  <cp:lastModifiedBy>Yuan</cp:lastModifiedBy>
  <dcterms:modified xsi:type="dcterms:W3CDTF">2025-09-17T00:18:34Z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F1B748D849F04C868789D1D4B64BDE5F_11</vt:lpwstr>
  </property>
  <property fmtid="{D5CDD505-2E9C-101B-9397-08002B2CF9AE}" pid="4" name="KSOTemplateDocerSaveRecord">
    <vt:lpwstr>eyJoZGlkIjoiMzUwMTkzYWUwNGE4NmFkNGE3YTg5MDE4NDczYWI5MzciLCJ1c2VySWQiOiIzOTM5MjU3NjkifQ==</vt:lpwstr>
  </property>
</Properties>
</file>