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01B23"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附件1：</w:t>
      </w:r>
    </w:p>
    <w:p w14:paraId="171B0665">
      <w:pPr>
        <w:ind w:firstLine="1680" w:firstLineChars="6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5号楼楼顶发光字体更换项目需求</w:t>
      </w:r>
    </w:p>
    <w:p w14:paraId="1E4A90C0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一、需求</w:t>
      </w:r>
    </w:p>
    <w:p w14:paraId="153DEE32"/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4110"/>
        <w:gridCol w:w="3548"/>
      </w:tblGrid>
      <w:tr w14:paraId="3D6D3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1B66B0F3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110" w:type="dxa"/>
          </w:tcPr>
          <w:p w14:paraId="38E90C6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3548" w:type="dxa"/>
          </w:tcPr>
          <w:p w14:paraId="30CE26F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需求</w:t>
            </w:r>
          </w:p>
        </w:tc>
      </w:tr>
      <w:tr w14:paraId="39DD8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49E181C5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110" w:type="dxa"/>
          </w:tcPr>
          <w:p w14:paraId="0CE57CE0"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新做：恭城瑶族自治县人民医院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+院标</w:t>
            </w:r>
          </w:p>
        </w:tc>
        <w:tc>
          <w:tcPr>
            <w:tcW w:w="3548" w:type="dxa"/>
          </w:tcPr>
          <w:p w14:paraId="007CA307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2米x2米x12个</w:t>
            </w:r>
          </w:p>
        </w:tc>
      </w:tr>
      <w:tr w14:paraId="4FBA7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10FE56E9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110" w:type="dxa"/>
          </w:tcPr>
          <w:p w14:paraId="0C6E613E">
            <w:pP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原发光字体拆除</w:t>
            </w:r>
          </w:p>
        </w:tc>
        <w:tc>
          <w:tcPr>
            <w:tcW w:w="3548" w:type="dxa"/>
          </w:tcPr>
          <w:p w14:paraId="46BBEF90"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2米x2米x1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  <w:t>个</w:t>
            </w:r>
          </w:p>
        </w:tc>
      </w:tr>
    </w:tbl>
    <w:p w14:paraId="4AF6DAF4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报价要求：</w:t>
      </w:r>
    </w:p>
    <w:p w14:paraId="63172B1B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报价应为本项目所产生所有费用，包含但不限于材料、安装、拆卸、人员工资、交通差旅、餐饮住宿、福利、税费、利润、管理费、保险、高空作业费等全部费用。</w:t>
      </w:r>
    </w:p>
    <w:p w14:paraId="4EAEF69D"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报价表：</w:t>
      </w:r>
    </w:p>
    <w:p w14:paraId="3E14F3F7">
      <w:pPr>
        <w:keepNext w:val="0"/>
        <w:keepLines w:val="0"/>
        <w:widowControl/>
        <w:suppressLineNumbers w:val="0"/>
        <w:jc w:val="center"/>
        <w:rPr>
          <w:rFonts w:ascii="PingFangSC-Regular" w:hAnsi="PingFangSC-Regular" w:eastAsia="PingFangSC-Regular" w:cs="PingFangSC-Regular"/>
          <w:color w:val="auto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PingFangSC-Semibold" w:hAnsi="PingFangSC-Semibold" w:eastAsia="PingFangSC-Semibold" w:cs="PingFangSC-Semibold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项目清单明细报价</w:t>
      </w:r>
      <w:r>
        <w:rPr>
          <w:rFonts w:ascii="PingFangSC-Semibold" w:hAnsi="PingFangSC-Semibold" w:eastAsia="PingFangSC-Semibold" w:cs="PingFangSC-Semibold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表（格式）</w:t>
      </w:r>
    </w:p>
    <w:tbl>
      <w:tblPr>
        <w:tblStyle w:val="5"/>
        <w:tblW w:w="8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093"/>
        <w:gridCol w:w="1050"/>
        <w:gridCol w:w="1167"/>
        <w:gridCol w:w="983"/>
        <w:gridCol w:w="884"/>
        <w:gridCol w:w="881"/>
        <w:gridCol w:w="1457"/>
      </w:tblGrid>
      <w:tr w14:paraId="41F04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257" w:type="dxa"/>
          </w:tcPr>
          <w:p w14:paraId="34A123B7">
            <w:pPr>
              <w:spacing w:line="440" w:lineRule="exact"/>
              <w:jc w:val="center"/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093" w:type="dxa"/>
          </w:tcPr>
          <w:p w14:paraId="3064DFEA">
            <w:pPr>
              <w:spacing w:line="440" w:lineRule="exact"/>
              <w:jc w:val="center"/>
              <w:rPr>
                <w:rFonts w:hint="eastAsia" w:ascii="宋体" w:hAnsi="宋体" w:eastAsia="宋体" w:cs="宋体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050" w:type="dxa"/>
          </w:tcPr>
          <w:p w14:paraId="656650D0">
            <w:pPr>
              <w:spacing w:line="440" w:lineRule="exact"/>
              <w:jc w:val="center"/>
              <w:rPr>
                <w:rFonts w:hint="default" w:ascii="宋体" w:hAnsi="宋体" w:eastAsia="宋体" w:cs="宋体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规格</w:t>
            </w:r>
          </w:p>
        </w:tc>
        <w:tc>
          <w:tcPr>
            <w:tcW w:w="1167" w:type="dxa"/>
          </w:tcPr>
          <w:p w14:paraId="30B202C6">
            <w:pPr>
              <w:spacing w:line="440" w:lineRule="exact"/>
              <w:jc w:val="center"/>
              <w:rPr>
                <w:rFonts w:hint="default" w:ascii="宋体" w:hAnsi="宋体" w:eastAsia="宋体" w:cs="宋体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材质</w:t>
            </w:r>
          </w:p>
        </w:tc>
        <w:tc>
          <w:tcPr>
            <w:tcW w:w="983" w:type="dxa"/>
          </w:tcPr>
          <w:p w14:paraId="2B70D3F7">
            <w:pPr>
              <w:spacing w:line="440" w:lineRule="exact"/>
              <w:jc w:val="center"/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884" w:type="dxa"/>
          </w:tcPr>
          <w:p w14:paraId="43EEC1F9">
            <w:pPr>
              <w:spacing w:line="440" w:lineRule="exact"/>
              <w:jc w:val="center"/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881" w:type="dxa"/>
          </w:tcPr>
          <w:p w14:paraId="6E5359A9">
            <w:pPr>
              <w:spacing w:line="440" w:lineRule="exact"/>
              <w:jc w:val="center"/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457" w:type="dxa"/>
          </w:tcPr>
          <w:p w14:paraId="6CD96FD0">
            <w:pPr>
              <w:spacing w:line="440" w:lineRule="exact"/>
              <w:jc w:val="center"/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</w:rPr>
              <w:t>总价</w:t>
            </w:r>
          </w:p>
        </w:tc>
      </w:tr>
      <w:tr w14:paraId="4FC06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57" w:type="dxa"/>
            <w:vAlign w:val="center"/>
          </w:tcPr>
          <w:p w14:paraId="3375A49F">
            <w:pPr>
              <w:pStyle w:val="10"/>
              <w:ind w:firstLine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093" w:type="dxa"/>
            <w:vAlign w:val="center"/>
          </w:tcPr>
          <w:p w14:paraId="0B7E4566">
            <w:pPr>
              <w:pStyle w:val="10"/>
              <w:ind w:firstLine="0"/>
              <w:rPr>
                <w:rFonts w:hint="eastAsia"/>
                <w:b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vAlign w:val="center"/>
          </w:tcPr>
          <w:p w14:paraId="36019B4E">
            <w:pPr>
              <w:pStyle w:val="10"/>
              <w:ind w:firstLine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7" w:type="dxa"/>
            <w:vAlign w:val="center"/>
          </w:tcPr>
          <w:p w14:paraId="59C2F073">
            <w:pPr>
              <w:pStyle w:val="10"/>
              <w:ind w:firstLine="0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83" w:type="dxa"/>
            <w:vAlign w:val="center"/>
          </w:tcPr>
          <w:p w14:paraId="56365FAC">
            <w:pPr>
              <w:pStyle w:val="10"/>
              <w:ind w:firstLine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vAlign w:val="center"/>
          </w:tcPr>
          <w:p w14:paraId="2A40725C">
            <w:pPr>
              <w:pStyle w:val="10"/>
              <w:ind w:firstLine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81" w:type="dxa"/>
            <w:vAlign w:val="center"/>
          </w:tcPr>
          <w:p w14:paraId="657E31FA">
            <w:pPr>
              <w:pStyle w:val="10"/>
              <w:ind w:firstLine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57" w:type="dxa"/>
            <w:vAlign w:val="center"/>
          </w:tcPr>
          <w:p w14:paraId="07259071">
            <w:pPr>
              <w:pStyle w:val="10"/>
              <w:ind w:firstLine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21E73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257" w:type="dxa"/>
            <w:vAlign w:val="center"/>
          </w:tcPr>
          <w:p w14:paraId="1FC22753">
            <w:pPr>
              <w:pStyle w:val="10"/>
              <w:ind w:firstLine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093" w:type="dxa"/>
            <w:vAlign w:val="center"/>
          </w:tcPr>
          <w:p w14:paraId="7E3240F1">
            <w:pPr>
              <w:pStyle w:val="10"/>
              <w:ind w:firstLine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vAlign w:val="center"/>
          </w:tcPr>
          <w:p w14:paraId="1C7C7F52">
            <w:pPr>
              <w:pStyle w:val="10"/>
              <w:ind w:firstLine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7" w:type="dxa"/>
          </w:tcPr>
          <w:p w14:paraId="7543C334">
            <w:pPr>
              <w:pStyle w:val="10"/>
              <w:ind w:firstLine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83" w:type="dxa"/>
            <w:vAlign w:val="center"/>
          </w:tcPr>
          <w:p w14:paraId="65C8BA40">
            <w:pPr>
              <w:pStyle w:val="10"/>
              <w:ind w:firstLine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vAlign w:val="center"/>
          </w:tcPr>
          <w:p w14:paraId="157EC6E3">
            <w:pPr>
              <w:pStyle w:val="10"/>
              <w:ind w:firstLine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81" w:type="dxa"/>
            <w:vAlign w:val="center"/>
          </w:tcPr>
          <w:p w14:paraId="615F465B">
            <w:pPr>
              <w:pStyle w:val="10"/>
              <w:ind w:firstLine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57" w:type="dxa"/>
            <w:vAlign w:val="center"/>
          </w:tcPr>
          <w:p w14:paraId="44763AF1">
            <w:pPr>
              <w:pStyle w:val="10"/>
              <w:ind w:firstLine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528DE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257" w:type="dxa"/>
            <w:vAlign w:val="center"/>
          </w:tcPr>
          <w:p w14:paraId="2A4E21C8">
            <w:pPr>
              <w:pStyle w:val="10"/>
              <w:ind w:firstLine="0"/>
              <w:jc w:val="center"/>
              <w:rPr>
                <w:rFonts w:hint="default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...</w:t>
            </w:r>
          </w:p>
        </w:tc>
        <w:tc>
          <w:tcPr>
            <w:tcW w:w="1093" w:type="dxa"/>
            <w:vAlign w:val="center"/>
          </w:tcPr>
          <w:p w14:paraId="413CAADD">
            <w:pPr>
              <w:pStyle w:val="10"/>
              <w:ind w:firstLine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50" w:type="dxa"/>
            <w:vAlign w:val="center"/>
          </w:tcPr>
          <w:p w14:paraId="6149618D">
            <w:pPr>
              <w:pStyle w:val="10"/>
              <w:ind w:firstLine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7" w:type="dxa"/>
          </w:tcPr>
          <w:p w14:paraId="53B74D5C">
            <w:pPr>
              <w:pStyle w:val="10"/>
              <w:ind w:firstLine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83" w:type="dxa"/>
            <w:vAlign w:val="center"/>
          </w:tcPr>
          <w:p w14:paraId="5F8CB3F7">
            <w:pPr>
              <w:pStyle w:val="10"/>
              <w:ind w:firstLine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vAlign w:val="center"/>
          </w:tcPr>
          <w:p w14:paraId="4518441F">
            <w:pPr>
              <w:pStyle w:val="10"/>
              <w:ind w:firstLine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81" w:type="dxa"/>
            <w:vAlign w:val="center"/>
          </w:tcPr>
          <w:p w14:paraId="677FA1F7">
            <w:pPr>
              <w:pStyle w:val="10"/>
              <w:ind w:firstLine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57" w:type="dxa"/>
            <w:vAlign w:val="center"/>
          </w:tcPr>
          <w:p w14:paraId="7A8D6E89">
            <w:pPr>
              <w:pStyle w:val="10"/>
              <w:ind w:firstLine="0"/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4881322E">
      <w:pPr>
        <w:keepNext w:val="0"/>
        <w:keepLines w:val="0"/>
        <w:widowControl/>
        <w:suppressLineNumbers w:val="0"/>
        <w:jc w:val="left"/>
        <w:rPr>
          <w:rFonts w:ascii="PingFangSC-Regular" w:hAnsi="PingFangSC-Regular" w:eastAsia="PingFangSC-Regular" w:cs="PingFangSC-Regular"/>
          <w:color w:val="auto"/>
          <w:kern w:val="0"/>
          <w:sz w:val="22"/>
          <w:szCs w:val="22"/>
          <w:highlight w:val="none"/>
          <w:lang w:val="en-US" w:eastAsia="zh-CN"/>
        </w:rPr>
      </w:pPr>
    </w:p>
    <w:p w14:paraId="7495C70E">
      <w:pPr>
        <w:keepNext w:val="0"/>
        <w:keepLines w:val="0"/>
        <w:widowControl/>
        <w:suppressLineNumbers w:val="0"/>
        <w:jc w:val="left"/>
        <w:rPr>
          <w:rFonts w:ascii="PingFangSC-Regular" w:hAnsi="PingFangSC-Regular" w:eastAsia="PingFangSC-Regular" w:cs="PingFangSC-Regular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PingFangSC-Regular" w:hAnsi="PingFangSC-Regular" w:eastAsia="PingFangSC-Regular" w:cs="PingFangSC-Regular"/>
          <w:color w:val="auto"/>
          <w:kern w:val="0"/>
          <w:sz w:val="24"/>
          <w:szCs w:val="24"/>
          <w:highlight w:val="none"/>
          <w:lang w:val="en-US" w:eastAsia="zh-CN"/>
        </w:rPr>
        <w:t>单价</w:t>
      </w:r>
      <w:r>
        <w:rPr>
          <w:rFonts w:ascii="PingFangSC-Regular" w:hAnsi="PingFangSC-Regular" w:eastAsia="PingFangSC-Regular" w:cs="PingFangSC-Regular"/>
          <w:color w:val="auto"/>
          <w:kern w:val="0"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="PingFangSC-Regular" w:hAnsi="PingFangSC-Regular" w:eastAsia="PingFangSC-Regular" w:cs="PingFangSC-Regular"/>
          <w:color w:val="auto"/>
          <w:kern w:val="0"/>
          <w:sz w:val="24"/>
          <w:szCs w:val="24"/>
          <w:highlight w:val="none"/>
          <w:lang w:val="en-US" w:eastAsia="zh-CN"/>
        </w:rPr>
        <w:t>合计金额（大</w:t>
      </w:r>
      <w:r>
        <w:rPr>
          <w:rFonts w:ascii="PingFangSC-Regular" w:hAnsi="PingFangSC-Regular" w:eastAsia="PingFangSC-Regular" w:cs="PingFangSC-Regular"/>
          <w:color w:val="auto"/>
          <w:kern w:val="0"/>
          <w:sz w:val="24"/>
          <w:szCs w:val="24"/>
          <w:highlight w:val="none"/>
          <w:lang w:val="en-US" w:eastAsia="zh-CN"/>
        </w:rPr>
        <w:t>写）：</w:t>
      </w:r>
      <w:r>
        <w:rPr>
          <w:rFonts w:hint="eastAsia" w:ascii="PingFangSC-Regular" w:hAnsi="PingFangSC-Regular" w:eastAsia="PingFangSC-Regular" w:cs="PingFangSC-Regular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           </w:t>
      </w:r>
      <w:r>
        <w:rPr>
          <w:rFonts w:ascii="PingFangSC-Regular" w:hAnsi="PingFangSC-Regular" w:eastAsia="PingFangSC-Regular" w:cs="PingFangSC-Regular"/>
          <w:color w:val="auto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PingFangSC-Regular" w:hAnsi="PingFangSC-Regular" w:eastAsia="PingFangSC-Regular" w:cs="PingFangSC-Regular"/>
          <w:color w:val="auto"/>
          <w:kern w:val="0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default" w:ascii="PingFangSC-Regular" w:hAnsi="PingFangSC-Regular" w:eastAsia="PingFangSC-Regular" w:cs="PingFangSC-Regular"/>
          <w:color w:val="auto"/>
          <w:kern w:val="0"/>
          <w:sz w:val="24"/>
          <w:szCs w:val="24"/>
          <w:highlight w:val="none"/>
          <w:lang w:val="en-US" w:eastAsia="zh-CN"/>
        </w:rPr>
        <w:t>元</w:t>
      </w:r>
      <w:r>
        <w:rPr>
          <w:rFonts w:hint="eastAsia" w:ascii="PingFangSC-Regular" w:hAnsi="PingFangSC-Regular" w:eastAsia="PingFangSC-Regular" w:cs="PingFangSC-Regular"/>
          <w:color w:val="auto"/>
          <w:kern w:val="0"/>
          <w:sz w:val="24"/>
          <w:szCs w:val="24"/>
          <w:highlight w:val="none"/>
          <w:lang w:val="en-US" w:eastAsia="zh-CN"/>
        </w:rPr>
        <w:t>；人民</w:t>
      </w:r>
      <w:r>
        <w:rPr>
          <w:rFonts w:hint="default" w:ascii="PingFangSC-Regular" w:hAnsi="PingFangSC-Regular" w:eastAsia="PingFangSC-Regular" w:cs="PingFangSC-Regular"/>
          <w:color w:val="auto"/>
          <w:kern w:val="0"/>
          <w:sz w:val="24"/>
          <w:szCs w:val="24"/>
          <w:highlight w:val="none"/>
          <w:lang w:val="en-US" w:eastAsia="zh-CN"/>
        </w:rPr>
        <w:t>币</w:t>
      </w:r>
      <w:r>
        <w:rPr>
          <w:rFonts w:hint="eastAsia" w:ascii="PingFangSC-Regular" w:hAnsi="PingFangSC-Regular" w:eastAsia="PingFangSC-Regular" w:cs="PingFangSC-Regular"/>
          <w:color w:val="auto"/>
          <w:kern w:val="0"/>
          <w:sz w:val="24"/>
          <w:szCs w:val="24"/>
          <w:highlight w:val="none"/>
          <w:lang w:val="en-US" w:eastAsia="zh-CN"/>
        </w:rPr>
        <w:t>小写</w:t>
      </w:r>
      <w:r>
        <w:rPr>
          <w:rFonts w:hint="default" w:ascii="PingFangSC-Regular" w:hAnsi="PingFangSC-Regular" w:eastAsia="PingFangSC-Regular" w:cs="PingFangSC-Regular"/>
          <w:color w:val="auto"/>
          <w:kern w:val="0"/>
          <w:sz w:val="24"/>
          <w:szCs w:val="24"/>
          <w:highlight w:val="none"/>
          <w:lang w:val="en-US" w:eastAsia="zh-CN"/>
        </w:rPr>
        <w:t>（￥</w:t>
      </w:r>
      <w:r>
        <w:rPr>
          <w:rFonts w:hint="default" w:ascii="PingFangSC-Regular" w:hAnsi="PingFangSC-Regular" w:eastAsia="PingFangSC-Regular" w:cs="PingFangSC-Regular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PingFangSC-Regular" w:hAnsi="PingFangSC-Regular" w:eastAsia="PingFangSC-Regular" w:cs="PingFangSC-Regular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PingFangSC-Regular" w:hAnsi="PingFangSC-Regular" w:eastAsia="PingFangSC-Regular" w:cs="PingFangSC-Regular"/>
          <w:color w:val="auto"/>
          <w:kern w:val="0"/>
          <w:sz w:val="24"/>
          <w:szCs w:val="24"/>
          <w:highlight w:val="none"/>
          <w:lang w:val="en-US" w:eastAsia="zh-CN"/>
        </w:rPr>
        <w:t xml:space="preserve">元  </w:t>
      </w:r>
      <w:r>
        <w:rPr>
          <w:rFonts w:hint="default" w:ascii="PingFangSC-Regular" w:hAnsi="PingFangSC-Regular" w:eastAsia="PingFangSC-Regular" w:cs="PingFangSC-Regular"/>
          <w:color w:val="auto"/>
          <w:kern w:val="0"/>
          <w:sz w:val="24"/>
          <w:szCs w:val="24"/>
          <w:highlight w:val="none"/>
          <w:lang w:val="en-US" w:eastAsia="zh-CN"/>
        </w:rPr>
        <w:t>）</w:t>
      </w:r>
      <w:r>
        <w:rPr>
          <w:rFonts w:hint="eastAsia" w:ascii="PingFangSC-Regular" w:hAnsi="PingFangSC-Regular" w:eastAsia="PingFangSC-Regular" w:cs="PingFangSC-Regular"/>
          <w:color w:val="auto"/>
          <w:kern w:val="0"/>
          <w:sz w:val="24"/>
          <w:szCs w:val="24"/>
          <w:highlight w:val="none"/>
          <w:lang w:val="en-US" w:eastAsia="zh-CN"/>
        </w:rPr>
        <w:t>。</w:t>
      </w:r>
    </w:p>
    <w:p w14:paraId="11E4A4DE">
      <w:pPr>
        <w:keepNext w:val="0"/>
        <w:keepLines w:val="0"/>
        <w:widowControl/>
        <w:suppressLineNumbers w:val="0"/>
        <w:jc w:val="left"/>
        <w:rPr>
          <w:rFonts w:hint="default"/>
          <w:color w:val="auto"/>
          <w:sz w:val="22"/>
          <w:szCs w:val="28"/>
          <w:highlight w:val="none"/>
          <w:u w:val="single"/>
          <w:lang w:val="en-US"/>
        </w:rPr>
      </w:pPr>
      <w:r>
        <w:rPr>
          <w:rFonts w:hint="eastAsia" w:ascii="PingFangSC-Regular" w:hAnsi="PingFangSC-Regular" w:eastAsia="PingFangSC-Regular" w:cs="PingFangSC-Regular"/>
          <w:color w:val="auto"/>
          <w:kern w:val="0"/>
          <w:sz w:val="24"/>
          <w:szCs w:val="24"/>
          <w:highlight w:val="none"/>
          <w:lang w:val="en-US" w:eastAsia="zh-CN"/>
        </w:rPr>
        <w:t>质保</w:t>
      </w:r>
      <w:r>
        <w:rPr>
          <w:rFonts w:ascii="PingFangSC-Regular" w:hAnsi="PingFangSC-Regular" w:eastAsia="PingFangSC-Regular" w:cs="PingFangSC-Regular"/>
          <w:color w:val="auto"/>
          <w:kern w:val="0"/>
          <w:sz w:val="24"/>
          <w:szCs w:val="24"/>
          <w:highlight w:val="none"/>
          <w:lang w:val="en-US" w:eastAsia="zh-CN"/>
        </w:rPr>
        <w:t>期：</w:t>
      </w:r>
      <w:r>
        <w:rPr>
          <w:rFonts w:hint="eastAsia" w:ascii="PingFangSC-Regular" w:hAnsi="PingFangSC-Regular" w:eastAsia="PingFangSC-Regular" w:cs="PingFangSC-Regular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       。</w:t>
      </w:r>
    </w:p>
    <w:p w14:paraId="2B2A93AD">
      <w:pPr>
        <w:pStyle w:val="4"/>
        <w:spacing w:line="400" w:lineRule="exact"/>
        <w:ind w:left="3360" w:leftChars="1400" w:firstLine="1320" w:firstLineChars="550"/>
        <w:rPr>
          <w:rFonts w:hint="default" w:ascii="Arial" w:hAnsi="Arial" w:cs="Arial"/>
          <w:u w:val="single"/>
        </w:rPr>
      </w:pPr>
      <w:r>
        <w:rPr>
          <w:rFonts w:hint="default" w:ascii="Arial" w:hAnsi="Arial" w:cs="Arial"/>
        </w:rPr>
        <w:t>供应商（公章）：</w:t>
      </w:r>
      <w:r>
        <w:rPr>
          <w:rFonts w:hint="default" w:ascii="Arial" w:hAnsi="Arial" w:cs="Arial"/>
          <w:u w:val="single"/>
        </w:rPr>
        <w:t xml:space="preserve">                           </w:t>
      </w:r>
    </w:p>
    <w:p w14:paraId="2E627A79">
      <w:pPr>
        <w:pStyle w:val="4"/>
        <w:spacing w:line="400" w:lineRule="exact"/>
        <w:ind w:firstLine="3600" w:firstLineChars="1500"/>
        <w:rPr>
          <w:rFonts w:hint="default" w:ascii="Arial" w:hAnsi="Arial" w:cs="Arial"/>
          <w:u w:val="single"/>
        </w:rPr>
      </w:pPr>
      <w:r>
        <w:rPr>
          <w:rFonts w:hint="default" w:ascii="Arial" w:hAnsi="Arial" w:cs="Arial"/>
        </w:rPr>
        <w:t>法定代表人或相应的委托代理人签字：</w:t>
      </w:r>
      <w:r>
        <w:rPr>
          <w:rFonts w:hint="default" w:ascii="Arial" w:hAnsi="Arial" w:cs="Arial"/>
          <w:u w:val="single"/>
        </w:rPr>
        <w:t xml:space="preserve">                </w:t>
      </w:r>
    </w:p>
    <w:p w14:paraId="3BB701B5">
      <w:pPr>
        <w:spacing w:line="360" w:lineRule="auto"/>
        <w:ind w:firstLine="4800" w:firstLineChars="2000"/>
        <w:rPr>
          <w:rFonts w:hint="default" w:ascii="Arial" w:hAnsi="Arial" w:cs="Arial"/>
          <w:u w:val="single"/>
        </w:rPr>
      </w:pPr>
      <w:r>
        <w:rPr>
          <w:rFonts w:hint="default" w:ascii="Arial" w:hAnsi="Arial" w:cs="Arial"/>
        </w:rPr>
        <w:t>日 期：</w:t>
      </w:r>
      <w:r>
        <w:rPr>
          <w:rFonts w:hint="default" w:ascii="Arial" w:hAnsi="Arial" w:cs="Arial"/>
          <w:u w:val="single"/>
        </w:rPr>
        <w:t xml:space="preserve">             </w:t>
      </w:r>
    </w:p>
    <w:p w14:paraId="773DE84E"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157" w:right="1179" w:bottom="1157" w:left="117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ingFang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ingFangSC-Semi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2" w:lineRule="auto"/>
      </w:pPr>
      <w:r>
        <w:separator/>
      </w:r>
    </w:p>
  </w:footnote>
  <w:footnote w:type="continuationSeparator" w:id="1">
    <w:p>
      <w:pPr>
        <w:spacing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693ADE"/>
    <w:multiLevelType w:val="singleLevel"/>
    <w:tmpl w:val="F8693AD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xZDUxZTE0YzNiM2ZkZjMzNzQ4YTdlNjhmZmU2MTEifQ=="/>
  </w:docVars>
  <w:rsids>
    <w:rsidRoot w:val="477F54A5"/>
    <w:rsid w:val="026B6515"/>
    <w:rsid w:val="09150168"/>
    <w:rsid w:val="0EB03CD2"/>
    <w:rsid w:val="0F636F58"/>
    <w:rsid w:val="125D16DF"/>
    <w:rsid w:val="165E2193"/>
    <w:rsid w:val="178766DD"/>
    <w:rsid w:val="20A22124"/>
    <w:rsid w:val="2268657E"/>
    <w:rsid w:val="23045086"/>
    <w:rsid w:val="24253506"/>
    <w:rsid w:val="29C15A7E"/>
    <w:rsid w:val="3A8F74D3"/>
    <w:rsid w:val="477F54A5"/>
    <w:rsid w:val="52397FF8"/>
    <w:rsid w:val="61907401"/>
    <w:rsid w:val="740517B6"/>
    <w:rsid w:val="79477C2E"/>
    <w:rsid w:val="7AB83901"/>
    <w:rsid w:val="7BFC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12" w:lineRule="auto"/>
      <w:jc w:val="both"/>
    </w:pPr>
    <w:rPr>
      <w:rFonts w:ascii="Calibri" w:hAnsi="Calibri" w:eastAsia="宋体" w:cs="黑体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4">
    <w:name w:val="Plain Text"/>
    <w:basedOn w:val="1"/>
    <w:next w:val="1"/>
    <w:qFormat/>
    <w:uiPriority w:val="0"/>
    <w:rPr>
      <w:rFonts w:ascii="宋体" w:hAnsi="Courier New"/>
      <w:szCs w:val="20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paragraph" w:customStyle="1" w:styleId="9">
    <w:name w:val="文档正文"/>
    <w:basedOn w:val="1"/>
    <w:qFormat/>
    <w:uiPriority w:val="0"/>
    <w:rPr>
      <w:rFonts w:ascii="Arial" w:hAnsi="Arial" w:cs="Arial"/>
      <w:bCs/>
      <w:sz w:val="24"/>
    </w:rPr>
  </w:style>
  <w:style w:type="paragraph" w:customStyle="1" w:styleId="10">
    <w:name w:val="方案正文"/>
    <w:basedOn w:val="1"/>
    <w:qFormat/>
    <w:uiPriority w:val="0"/>
    <w:pPr>
      <w:spacing w:line="360" w:lineRule="auto"/>
      <w:ind w:firstLine="420"/>
      <w:jc w:val="left"/>
    </w:pPr>
    <w:rPr>
      <w:rFonts w:eastAsia="仿宋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245</Characters>
  <Lines>0</Lines>
  <Paragraphs>0</Paragraphs>
  <TotalTime>3</TotalTime>
  <ScaleCrop>false</ScaleCrop>
  <LinksUpToDate>false</LinksUpToDate>
  <CharactersWithSpaces>348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2023-09-21T01:19:00Z</dcterms:created>
  <dc:creator>雪莉永远的苏格爸爸</dc:creator>
  <cp:lastModifiedBy>燕</cp:lastModifiedBy>
  <dcterms:modified xsi:type="dcterms:W3CDTF">2026-01-14T02:58:03Z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667152FBF3544EED861DBC3DDFCDAEB4_11</vt:lpwstr>
  </property>
  <property fmtid="{D5CDD505-2E9C-101B-9397-08002B2CF9AE}" pid="4" name="KSOTemplateDocerSaveRecord">
    <vt:lpwstr>eyJoZGlkIjoiNDk3ZWY3OTBhZTVmZjI5MzRkODI5ODRjMGRiZDJjNGUiLCJ1c2VySWQiOiIzMTk4MDk3NjMifQ==</vt:lpwstr>
  </property>
</Properties>
</file>