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AA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双通道注射泵参数要求</w:t>
      </w:r>
    </w:p>
    <w:p w14:paraId="64198E24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▲1.产品需持有NMPA颁发的第三类医疗器械注册证，提供注册证文件证明</w:t>
      </w:r>
    </w:p>
    <w:p w14:paraId="4F56B4FF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▲2.药物支持：可进行普通药物输液、镇痛药、化疗药、胰岛素输注。</w:t>
      </w:r>
    </w:p>
    <w:p w14:paraId="0C5E5E33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▲3.产品适用于成人、小儿和新生儿患者，适用于各年龄段患者多型号注射器进行4.静脉输注。</w:t>
      </w:r>
    </w:p>
    <w:p w14:paraId="03D9025F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▲5.注射精度≤±2%</w:t>
      </w:r>
    </w:p>
    <w:p w14:paraId="2565BC7E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▲6.速度调节范围：0.01-2000ml/h, 最小步进0.01ml/h</w:t>
      </w:r>
    </w:p>
    <w:p w14:paraId="0E49767E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7.防护等级不低于IP34；</w:t>
      </w:r>
    </w:p>
    <w:p w14:paraId="70D9C284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8.输液模式数量：≥8种</w:t>
      </w:r>
    </w:p>
    <w:p w14:paraId="19F0DD87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9.配备≥3.5英寸电容式触摸屏</w:t>
      </w:r>
    </w:p>
    <w:p w14:paraId="523FAA61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▲10.压力监测：具有压力监测，可实时显示当前压力数值</w:t>
      </w:r>
    </w:p>
    <w:p w14:paraId="2DE99E05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11.电池工作时间≥6小时（@5ml/h流速下）</w:t>
      </w:r>
    </w:p>
    <w:p w14:paraId="0767A0AA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▲12.双通道每个通道独立运行，支持通道之间中继/联机功能。</w:t>
      </w:r>
    </w:p>
    <w:p w14:paraId="0B4D168E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▲13.阻塞回撤功能（Anti-Bolus）：当管路阻塞报警时，自动回撤管路压力，避免意外剂量伤害患者</w:t>
      </w:r>
    </w:p>
    <w:p w14:paraId="19CD9A79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14.使用期限：≥10年</w:t>
      </w:r>
    </w:p>
    <w:p w14:paraId="7D055B7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▲15.可用注射器规格：5ml、10ml、20ml、30ml、50ml、60ml</w:t>
      </w:r>
    </w:p>
    <w:p w14:paraId="0CBC66FD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▲16.KVO：0.1-</w:t>
      </w:r>
      <w:r>
        <w:rPr>
          <w:rFonts w:hint="eastAsia" w:ascii="Times New Roman" w:hAnsi="Times New Roman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0.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5ml/h，递增0.1ml/h；</w:t>
      </w:r>
    </w:p>
    <w:p w14:paraId="2342A3C3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</w:p>
    <w:p w14:paraId="6C4C5B37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6ED13A0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652B2C84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1128511">
      <w:pPr>
        <w:adjustRightInd w:val="0"/>
        <w:snapToGrid w:val="0"/>
        <w:spacing w:before="26" w:after="26" w:line="400" w:lineRule="exact"/>
        <w:ind w:firstLine="641"/>
        <w:jc w:val="center"/>
        <w:rPr>
          <w:rFonts w:hint="default" w:ascii="宋体" w:hAnsi="宋体" w:eastAsia="宋体" w:cs="宋体"/>
          <w:b/>
          <w:bCs w:val="0"/>
          <w:color w:val="auto"/>
          <w:spacing w:val="-8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 w:val="0"/>
          <w:color w:val="auto"/>
          <w:spacing w:val="-8"/>
          <w:kern w:val="0"/>
          <w:sz w:val="32"/>
          <w:szCs w:val="32"/>
          <w:lang w:val="en-US" w:eastAsia="zh-CN"/>
        </w:rPr>
        <w:t>输液泵参数要求</w:t>
      </w:r>
    </w:p>
    <w:p w14:paraId="13A33AD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▲1..产品需持有NMPA颁发的第三类医疗器械注册证，提供注册证文件证明</w:t>
      </w:r>
    </w:p>
    <w:p w14:paraId="31035A0E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▲2.药物支持：可进行普通药物输液、镇痛药、化疗药、胰岛素输注</w:t>
      </w:r>
    </w:p>
    <w:p w14:paraId="279C8551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▲3.输液精度：≤±5%</w:t>
      </w:r>
    </w:p>
    <w:p w14:paraId="40E86DCF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▲4.速率范围：0.1-2000ml/h，最小步进0.01ml/h</w:t>
      </w:r>
    </w:p>
    <w:p w14:paraId="27BCDD2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5.累计量类型：24h累计量、最近累计量、自定义时间段累计量、定时间隔累计量</w:t>
      </w:r>
    </w:p>
    <w:p w14:paraId="77252930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▲6.压力报警阈值最低值：50mmHg</w:t>
      </w:r>
    </w:p>
    <w:p w14:paraId="05FBBF2F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7.整机重量：不超过1.5kg</w:t>
      </w:r>
    </w:p>
    <w:p w14:paraId="3EC2757B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8.使用期限：≥10年</w:t>
      </w:r>
      <w:bookmarkStart w:id="0" w:name="_GoBack"/>
      <w:bookmarkEnd w:id="0"/>
    </w:p>
    <w:p w14:paraId="0BB920F1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▲9.预置输液总量范围：0.1-9999.99ml</w:t>
      </w:r>
    </w:p>
    <w:p w14:paraId="7D11ED75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10.输液模式数量：≥8种</w:t>
      </w:r>
    </w:p>
    <w:p w14:paraId="4AD6087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▲11.屏幕尺寸：≥3.5英寸彩色显示屏</w:t>
      </w:r>
    </w:p>
    <w:p w14:paraId="64398379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▲12.触摸屏技术：电容触摸屏技术</w:t>
      </w:r>
    </w:p>
    <w:p w14:paraId="656949C2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12.药物库容量：≥5000种</w:t>
      </w:r>
    </w:p>
    <w:p w14:paraId="2C1D1827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▲13.压力监测：具有压力监测，可实时显示当前压力数值</w:t>
      </w:r>
    </w:p>
    <w:p w14:paraId="119F4D11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14.压力报警阈值档位：至少15档可调</w:t>
      </w:r>
    </w:p>
    <w:p w14:paraId="55E3C255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15.气泡检测：具备单个气泡和累积气泡报警功能，支持最小15μL的单个气泡报警</w:t>
      </w:r>
    </w:p>
    <w:p w14:paraId="01E57AD0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16.历史记录存储量：≥2000条</w:t>
      </w:r>
    </w:p>
    <w:p w14:paraId="6A3A0BD1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17.内置电池工作时间：≥5小时</w:t>
      </w:r>
    </w:p>
    <w:p w14:paraId="4D5A8F0A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Chars="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18.防护等级：不低于IP44</w:t>
      </w:r>
    </w:p>
    <w:sectPr>
      <w:pgSz w:w="11906" w:h="16838"/>
      <w:pgMar w:top="1327" w:right="1576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28279CD"/>
    <w:rsid w:val="02AF774A"/>
    <w:rsid w:val="038600EA"/>
    <w:rsid w:val="06D43177"/>
    <w:rsid w:val="06D631E4"/>
    <w:rsid w:val="083E11BD"/>
    <w:rsid w:val="0D872799"/>
    <w:rsid w:val="1C457997"/>
    <w:rsid w:val="1F6F7D9D"/>
    <w:rsid w:val="23CB6991"/>
    <w:rsid w:val="24D80578"/>
    <w:rsid w:val="26CA158E"/>
    <w:rsid w:val="2D684A57"/>
    <w:rsid w:val="34D0301A"/>
    <w:rsid w:val="3B875B1C"/>
    <w:rsid w:val="3D2F28A7"/>
    <w:rsid w:val="3F962E01"/>
    <w:rsid w:val="43B34851"/>
    <w:rsid w:val="51221726"/>
    <w:rsid w:val="53141635"/>
    <w:rsid w:val="559B7FA6"/>
    <w:rsid w:val="5AF735CB"/>
    <w:rsid w:val="5F9666F4"/>
    <w:rsid w:val="68637725"/>
    <w:rsid w:val="6B3D0570"/>
    <w:rsid w:val="6BB07EF0"/>
    <w:rsid w:val="6BE40B7D"/>
    <w:rsid w:val="71C72AD3"/>
    <w:rsid w:val="724203AC"/>
    <w:rsid w:val="732D4BB8"/>
    <w:rsid w:val="7A6510DB"/>
    <w:rsid w:val="7AB42B6F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15"/>
    <w:basedOn w:val="4"/>
    <w:qFormat/>
    <w:uiPriority w:val="0"/>
    <w:rPr>
      <w:rFonts w:hint="default" w:ascii="Calibri" w:hAnsi="Calibri" w:cs="Calibri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672</Words>
  <Characters>895</Characters>
  <Lines>0</Lines>
  <Paragraphs>0</Paragraphs>
  <TotalTime>19</TotalTime>
  <ScaleCrop>false</ScaleCrop>
  <LinksUpToDate>false</LinksUpToDate>
  <CharactersWithSpaces>896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༒</cp:lastModifiedBy>
  <dcterms:modified xsi:type="dcterms:W3CDTF">2026-06-15T07:33:42Z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