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36"/>
          <w:szCs w:val="36"/>
        </w:rPr>
      </w:pPr>
      <w:bookmarkStart w:id="0" w:name="_Toc2825"/>
      <w:bookmarkStart w:id="1" w:name="_Toc7078"/>
      <w:bookmarkStart w:id="2" w:name="_Toc16616"/>
      <w:bookmarkStart w:id="3" w:name="_Toc29215"/>
      <w:bookmarkStart w:id="4" w:name="_Toc29860"/>
      <w:r>
        <w:rPr>
          <w:rFonts w:hint="eastAsia"/>
          <w:b/>
          <w:bCs/>
          <w:sz w:val="36"/>
          <w:szCs w:val="36"/>
          <w:lang w:val="en-US" w:eastAsia="zh-CN"/>
        </w:rPr>
        <w:t>恭城瑶族自治</w:t>
      </w:r>
      <w:r>
        <w:rPr>
          <w:rFonts w:hint="eastAsia"/>
          <w:b/>
          <w:bCs/>
          <w:sz w:val="36"/>
          <w:szCs w:val="36"/>
        </w:rPr>
        <w:t>人民医院</w:t>
      </w:r>
      <w:bookmarkEnd w:id="0"/>
      <w:bookmarkEnd w:id="1"/>
      <w:bookmarkEnd w:id="2"/>
      <w:bookmarkEnd w:id="3"/>
    </w:p>
    <w:bookmarkEnd w:id="4"/>
    <w:p w14:paraId="3E627136">
      <w:pPr>
        <w:ind w:left="2891" w:hanging="2891" w:hangingChars="800"/>
        <w:rPr>
          <w:rFonts w:hint="eastAsia"/>
          <w:b/>
          <w:bCs/>
          <w:sz w:val="36"/>
          <w:szCs w:val="36"/>
          <w:lang w:eastAsia="zh-CN"/>
        </w:rPr>
      </w:pPr>
      <w:bookmarkStart w:id="5" w:name="_Toc26810"/>
      <w:bookmarkStart w:id="6" w:name="_Toc26782"/>
      <w:bookmarkStart w:id="7" w:name="_Toc31308"/>
      <w:bookmarkStart w:id="8" w:name="_Toc25622"/>
      <w:r>
        <w:rPr>
          <w:rFonts w:hint="eastAsia"/>
          <w:b/>
          <w:bCs/>
          <w:sz w:val="36"/>
          <w:szCs w:val="36"/>
          <w:lang w:val="en-US" w:eastAsia="zh-CN"/>
        </w:rPr>
        <w:t>医院经济事务一体化平台（资产管理、人事管理、薪酬管理）采购项目</w:t>
      </w:r>
      <w:r>
        <w:rPr>
          <w:rFonts w:hint="eastAsia"/>
          <w:b/>
          <w:bCs/>
          <w:sz w:val="36"/>
          <w:szCs w:val="36"/>
        </w:rPr>
        <w:t>市场调研</w:t>
      </w:r>
      <w:r>
        <w:rPr>
          <w:rFonts w:hint="eastAsia"/>
          <w:b/>
          <w:bCs/>
          <w:sz w:val="36"/>
          <w:szCs w:val="36"/>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1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134" w:right="1134" w:bottom="1134" w:left="1134"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4"/>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主要用户名单及中标价钱（2023年至今）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8"/>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sdtContent>
    </w:sdt>
    <w:p w14:paraId="6528983A">
      <w:pPr>
        <w:rPr>
          <w:b/>
          <w:bCs/>
        </w:rPr>
      </w:pPr>
    </w:p>
    <w:p w14:paraId="01F746AF">
      <w:pPr>
        <w:rPr>
          <w:b/>
          <w:bCs/>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344"/>
        <w:gridCol w:w="1344"/>
        <w:gridCol w:w="1344"/>
        <w:gridCol w:w="1344"/>
        <w:gridCol w:w="1344"/>
        <w:gridCol w:w="1344"/>
        <w:gridCol w:w="1344"/>
        <w:gridCol w:w="1344"/>
        <w:gridCol w:w="1345"/>
      </w:tblGrid>
      <w:tr w14:paraId="41C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1" w:type="dxa"/>
            <w:gridSpan w:val="10"/>
          </w:tcPr>
          <w:p w14:paraId="32480976">
            <w:pPr>
              <w:jc w:val="center"/>
              <w:rPr>
                <w:rFonts w:hint="eastAsia"/>
                <w:b/>
                <w:bCs/>
                <w:sz w:val="30"/>
                <w:szCs w:val="30"/>
                <w:vertAlign w:val="baseline"/>
                <w:lang w:val="en-US" w:eastAsia="zh-CN"/>
              </w:rPr>
            </w:pPr>
            <w:r>
              <w:rPr>
                <w:rFonts w:hint="eastAsia"/>
                <w:b/>
                <w:bCs/>
                <w:sz w:val="30"/>
                <w:szCs w:val="30"/>
                <w:vertAlign w:val="baseline"/>
                <w:lang w:val="en-US" w:eastAsia="zh-CN"/>
              </w:rPr>
              <w:t>项目报价表</w:t>
            </w:r>
          </w:p>
          <w:p w14:paraId="2E6A12B0">
            <w:pPr>
              <w:pStyle w:val="3"/>
              <w:rPr>
                <w:rFonts w:hint="default"/>
                <w:lang w:val="en-US" w:eastAsia="zh-CN"/>
              </w:rPr>
            </w:pPr>
          </w:p>
        </w:tc>
      </w:tr>
      <w:tr w14:paraId="70F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7A9ED67D">
            <w:pPr>
              <w:jc w:val="center"/>
              <w:rPr>
                <w:rFonts w:hint="eastAsia"/>
                <w:vertAlign w:val="baseline"/>
                <w:lang w:val="en-US" w:eastAsia="zh-CN"/>
              </w:rPr>
            </w:pPr>
            <w:r>
              <w:rPr>
                <w:rFonts w:hint="eastAsia"/>
                <w:vertAlign w:val="baseline"/>
                <w:lang w:val="en-US" w:eastAsia="zh-CN"/>
              </w:rPr>
              <w:t>序号</w:t>
            </w:r>
          </w:p>
          <w:p w14:paraId="1203498F">
            <w:pPr>
              <w:pStyle w:val="3"/>
              <w:jc w:val="center"/>
              <w:rPr>
                <w:rFonts w:hint="eastAsia"/>
                <w:lang w:val="en-US" w:eastAsia="zh-CN"/>
              </w:rPr>
            </w:pPr>
          </w:p>
        </w:tc>
        <w:tc>
          <w:tcPr>
            <w:tcW w:w="1344" w:type="dxa"/>
          </w:tcPr>
          <w:p w14:paraId="045DAA08">
            <w:pPr>
              <w:jc w:val="center"/>
              <w:rPr>
                <w:rFonts w:hint="default" w:eastAsia="宋体"/>
                <w:vertAlign w:val="baseline"/>
                <w:lang w:val="en-US" w:eastAsia="zh-CN"/>
              </w:rPr>
            </w:pPr>
            <w:r>
              <w:rPr>
                <w:rFonts w:hint="eastAsia"/>
                <w:vertAlign w:val="baseline"/>
                <w:lang w:val="en-US" w:eastAsia="zh-CN"/>
              </w:rPr>
              <w:t>产品名称</w:t>
            </w:r>
          </w:p>
        </w:tc>
        <w:tc>
          <w:tcPr>
            <w:tcW w:w="1344" w:type="dxa"/>
          </w:tcPr>
          <w:p w14:paraId="674CC20C">
            <w:pPr>
              <w:jc w:val="center"/>
              <w:rPr>
                <w:rFonts w:hint="eastAsia" w:eastAsia="宋体"/>
                <w:vertAlign w:val="baseline"/>
                <w:lang w:val="en-US" w:eastAsia="zh-CN"/>
              </w:rPr>
            </w:pPr>
            <w:r>
              <w:rPr>
                <w:rFonts w:hint="eastAsia"/>
                <w:vertAlign w:val="baseline"/>
                <w:lang w:val="en-US" w:eastAsia="zh-CN"/>
              </w:rPr>
              <w:t>品牌</w:t>
            </w:r>
          </w:p>
        </w:tc>
        <w:tc>
          <w:tcPr>
            <w:tcW w:w="1344" w:type="dxa"/>
          </w:tcPr>
          <w:p w14:paraId="019909F1">
            <w:pPr>
              <w:jc w:val="center"/>
              <w:rPr>
                <w:rFonts w:hint="default" w:eastAsia="宋体"/>
                <w:vertAlign w:val="baseline"/>
                <w:lang w:val="en-US" w:eastAsia="zh-CN"/>
              </w:rPr>
            </w:pPr>
            <w:r>
              <w:rPr>
                <w:rFonts w:hint="eastAsia"/>
                <w:vertAlign w:val="baseline"/>
                <w:lang w:val="en-US" w:eastAsia="zh-CN"/>
              </w:rPr>
              <w:t>规格型号</w:t>
            </w:r>
          </w:p>
        </w:tc>
        <w:tc>
          <w:tcPr>
            <w:tcW w:w="1344" w:type="dxa"/>
          </w:tcPr>
          <w:p w14:paraId="6ABFCAE0">
            <w:pPr>
              <w:jc w:val="center"/>
              <w:rPr>
                <w:rFonts w:hint="default" w:eastAsia="宋体"/>
                <w:vertAlign w:val="baseline"/>
                <w:lang w:val="en-US" w:eastAsia="zh-CN"/>
              </w:rPr>
            </w:pPr>
            <w:r>
              <w:rPr>
                <w:rFonts w:hint="eastAsia"/>
                <w:vertAlign w:val="baseline"/>
                <w:lang w:val="en-US" w:eastAsia="zh-CN"/>
              </w:rPr>
              <w:t>生产厂家</w:t>
            </w:r>
          </w:p>
        </w:tc>
        <w:tc>
          <w:tcPr>
            <w:tcW w:w="1344" w:type="dxa"/>
          </w:tcPr>
          <w:p w14:paraId="3A6B61A4">
            <w:pPr>
              <w:jc w:val="center"/>
              <w:rPr>
                <w:rFonts w:hint="eastAsia" w:eastAsia="宋体"/>
                <w:vertAlign w:val="baseline"/>
                <w:lang w:val="en-US" w:eastAsia="zh-CN"/>
              </w:rPr>
            </w:pPr>
            <w:r>
              <w:rPr>
                <w:rFonts w:hint="eastAsia"/>
                <w:vertAlign w:val="baseline"/>
                <w:lang w:val="en-US" w:eastAsia="zh-CN"/>
              </w:rPr>
              <w:t>数量</w:t>
            </w:r>
            <w:r>
              <w:rPr>
                <w:rFonts w:hint="eastAsia" w:ascii="仿宋" w:hAnsi="仿宋" w:eastAsia="仿宋" w:cs="仿宋"/>
                <w:b/>
                <w:bCs/>
                <w:i w:val="0"/>
                <w:iCs w:val="0"/>
                <w:color w:val="000000"/>
                <w:kern w:val="0"/>
                <w:sz w:val="22"/>
                <w:szCs w:val="22"/>
                <w:u w:val="none"/>
                <w:lang w:val="en-US" w:eastAsia="zh-CN" w:bidi="ar"/>
              </w:rPr>
              <w:t>①</w:t>
            </w:r>
          </w:p>
        </w:tc>
        <w:tc>
          <w:tcPr>
            <w:tcW w:w="1344" w:type="dxa"/>
          </w:tcPr>
          <w:p w14:paraId="7EFB7A76">
            <w:pPr>
              <w:jc w:val="center"/>
              <w:rPr>
                <w:rFonts w:hint="eastAsia" w:eastAsia="宋体"/>
                <w:vertAlign w:val="baseline"/>
                <w:lang w:val="en-US" w:eastAsia="zh-CN"/>
              </w:rPr>
            </w:pPr>
            <w:r>
              <w:rPr>
                <w:rFonts w:hint="eastAsia"/>
                <w:vertAlign w:val="baseline"/>
                <w:lang w:val="en-US" w:eastAsia="zh-CN"/>
              </w:rPr>
              <w:t>单位</w:t>
            </w:r>
          </w:p>
        </w:tc>
        <w:tc>
          <w:tcPr>
            <w:tcW w:w="1344" w:type="dxa"/>
          </w:tcPr>
          <w:p w14:paraId="7EC8C14F">
            <w:pPr>
              <w:jc w:val="center"/>
              <w:rPr>
                <w:rFonts w:hint="eastAsia" w:eastAsia="宋体"/>
                <w:vertAlign w:val="baseline"/>
                <w:lang w:val="en-US" w:eastAsia="zh-CN"/>
              </w:rPr>
            </w:pPr>
            <w:r>
              <w:rPr>
                <w:rFonts w:hint="eastAsia"/>
                <w:vertAlign w:val="baseline"/>
                <w:lang w:val="en-US" w:eastAsia="zh-CN"/>
              </w:rPr>
              <w:t>单价</w:t>
            </w:r>
            <w:r>
              <w:rPr>
                <w:rFonts w:hint="eastAsia" w:ascii="仿宋" w:hAnsi="仿宋" w:eastAsia="仿宋" w:cs="仿宋"/>
                <w:b/>
                <w:bCs/>
                <w:i w:val="0"/>
                <w:iCs w:val="0"/>
                <w:color w:val="000000"/>
                <w:kern w:val="0"/>
                <w:sz w:val="22"/>
                <w:szCs w:val="22"/>
                <w:u w:val="none"/>
                <w:lang w:val="en-US" w:eastAsia="zh-CN" w:bidi="ar"/>
              </w:rPr>
              <w:t>②</w:t>
            </w:r>
          </w:p>
        </w:tc>
        <w:tc>
          <w:tcPr>
            <w:tcW w:w="1344" w:type="dxa"/>
          </w:tcPr>
          <w:p w14:paraId="6AB3D335">
            <w:pPr>
              <w:jc w:val="center"/>
              <w:rPr>
                <w:rFonts w:hint="eastAsia"/>
                <w:vertAlign w:val="baseline"/>
                <w:lang w:val="en-US" w:eastAsia="zh-CN"/>
              </w:rPr>
            </w:pPr>
            <w:r>
              <w:rPr>
                <w:rFonts w:hint="eastAsia"/>
                <w:vertAlign w:val="baseline"/>
                <w:lang w:val="en-US" w:eastAsia="zh-CN"/>
              </w:rPr>
              <w:t>总价</w:t>
            </w:r>
          </w:p>
          <w:p w14:paraId="6E448D66">
            <w:pPr>
              <w:jc w:val="center"/>
              <w:rPr>
                <w:rFonts w:hint="default" w:eastAsia="宋体"/>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③=①*②</w:t>
            </w:r>
          </w:p>
        </w:tc>
        <w:tc>
          <w:tcPr>
            <w:tcW w:w="1345" w:type="dxa"/>
          </w:tcPr>
          <w:p w14:paraId="2F7C81C0">
            <w:pPr>
              <w:jc w:val="center"/>
              <w:rPr>
                <w:rFonts w:hint="eastAsia" w:eastAsia="宋体"/>
                <w:vertAlign w:val="baseline"/>
                <w:lang w:val="en-US" w:eastAsia="zh-CN"/>
              </w:rPr>
            </w:pPr>
            <w:r>
              <w:rPr>
                <w:rFonts w:hint="eastAsia"/>
                <w:vertAlign w:val="baseline"/>
                <w:lang w:val="en-US" w:eastAsia="zh-CN"/>
              </w:rPr>
              <w:t>备注</w:t>
            </w:r>
          </w:p>
        </w:tc>
      </w:tr>
      <w:tr w14:paraId="0679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5742A48F">
            <w:pPr>
              <w:rPr>
                <w:vertAlign w:val="baseline"/>
              </w:rPr>
            </w:pPr>
          </w:p>
          <w:p w14:paraId="10C1514D">
            <w:pPr>
              <w:pStyle w:val="3"/>
            </w:pPr>
          </w:p>
        </w:tc>
        <w:tc>
          <w:tcPr>
            <w:tcW w:w="1344" w:type="dxa"/>
          </w:tcPr>
          <w:p w14:paraId="65158B51">
            <w:pPr>
              <w:rPr>
                <w:vertAlign w:val="baseline"/>
              </w:rPr>
            </w:pPr>
          </w:p>
        </w:tc>
        <w:tc>
          <w:tcPr>
            <w:tcW w:w="1344" w:type="dxa"/>
          </w:tcPr>
          <w:p w14:paraId="57A9E323">
            <w:pPr>
              <w:rPr>
                <w:vertAlign w:val="baseline"/>
              </w:rPr>
            </w:pPr>
          </w:p>
        </w:tc>
        <w:tc>
          <w:tcPr>
            <w:tcW w:w="1344" w:type="dxa"/>
          </w:tcPr>
          <w:p w14:paraId="6C837ACF">
            <w:pPr>
              <w:rPr>
                <w:vertAlign w:val="baseline"/>
              </w:rPr>
            </w:pPr>
          </w:p>
        </w:tc>
        <w:tc>
          <w:tcPr>
            <w:tcW w:w="1344" w:type="dxa"/>
          </w:tcPr>
          <w:p w14:paraId="43F6A705">
            <w:pPr>
              <w:rPr>
                <w:vertAlign w:val="baseline"/>
              </w:rPr>
            </w:pPr>
          </w:p>
        </w:tc>
        <w:tc>
          <w:tcPr>
            <w:tcW w:w="1344" w:type="dxa"/>
          </w:tcPr>
          <w:p w14:paraId="717F51A8">
            <w:pPr>
              <w:rPr>
                <w:vertAlign w:val="baseline"/>
              </w:rPr>
            </w:pPr>
          </w:p>
        </w:tc>
        <w:tc>
          <w:tcPr>
            <w:tcW w:w="1344" w:type="dxa"/>
          </w:tcPr>
          <w:p w14:paraId="2FF37096">
            <w:pPr>
              <w:rPr>
                <w:vertAlign w:val="baseline"/>
              </w:rPr>
            </w:pPr>
          </w:p>
        </w:tc>
        <w:tc>
          <w:tcPr>
            <w:tcW w:w="1344" w:type="dxa"/>
          </w:tcPr>
          <w:p w14:paraId="4855FC32">
            <w:pPr>
              <w:rPr>
                <w:vertAlign w:val="baseline"/>
              </w:rPr>
            </w:pPr>
          </w:p>
        </w:tc>
        <w:tc>
          <w:tcPr>
            <w:tcW w:w="1344" w:type="dxa"/>
          </w:tcPr>
          <w:p w14:paraId="420E3742">
            <w:pPr>
              <w:rPr>
                <w:vertAlign w:val="baseline"/>
              </w:rPr>
            </w:pPr>
          </w:p>
        </w:tc>
        <w:tc>
          <w:tcPr>
            <w:tcW w:w="1345" w:type="dxa"/>
          </w:tcPr>
          <w:p w14:paraId="034C2160">
            <w:pPr>
              <w:rPr>
                <w:vertAlign w:val="baseline"/>
              </w:rPr>
            </w:pPr>
          </w:p>
        </w:tc>
      </w:tr>
      <w:tr w14:paraId="67FC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2" w:type="dxa"/>
            <w:gridSpan w:val="8"/>
          </w:tcPr>
          <w:p w14:paraId="1DB08390">
            <w:pPr>
              <w:rPr>
                <w:rFonts w:hint="eastAsia"/>
                <w:vertAlign w:val="baseline"/>
                <w:lang w:val="en-US" w:eastAsia="zh-CN"/>
              </w:rPr>
            </w:pPr>
            <w:r>
              <w:rPr>
                <w:rFonts w:hint="eastAsia"/>
                <w:vertAlign w:val="baseline"/>
                <w:lang w:val="en-US" w:eastAsia="zh-CN"/>
              </w:rPr>
              <w:t xml:space="preserve">                                                                               </w:t>
            </w:r>
            <w:bookmarkStart w:id="44" w:name="_GoBack"/>
            <w:bookmarkEnd w:id="44"/>
            <w:r>
              <w:rPr>
                <w:rFonts w:hint="eastAsia"/>
                <w:vertAlign w:val="baseline"/>
                <w:lang w:val="en-US" w:eastAsia="zh-CN"/>
              </w:rPr>
              <w:t xml:space="preserve"> 合计</w:t>
            </w:r>
          </w:p>
          <w:p w14:paraId="41EA3583">
            <w:pPr>
              <w:rPr>
                <w:rFonts w:hint="default"/>
                <w:vertAlign w:val="baseline"/>
                <w:lang w:val="en-US" w:eastAsia="zh-CN"/>
              </w:rPr>
            </w:pPr>
          </w:p>
        </w:tc>
        <w:tc>
          <w:tcPr>
            <w:tcW w:w="1344" w:type="dxa"/>
          </w:tcPr>
          <w:p w14:paraId="2123DE32">
            <w:pPr>
              <w:rPr>
                <w:vertAlign w:val="baseline"/>
              </w:rPr>
            </w:pPr>
          </w:p>
        </w:tc>
        <w:tc>
          <w:tcPr>
            <w:tcW w:w="1345" w:type="dxa"/>
          </w:tcPr>
          <w:p w14:paraId="77F608BA">
            <w:pPr>
              <w:rPr>
                <w:vertAlign w:val="baseline"/>
              </w:rPr>
            </w:pPr>
          </w:p>
        </w:tc>
      </w:tr>
    </w:tbl>
    <w:p w14:paraId="061ABC34"/>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宋体"/>
          <w:i w:val="0"/>
          <w:iCs w:val="0"/>
          <w:color w:val="auto"/>
          <w:kern w:val="0"/>
          <w:sz w:val="24"/>
          <w:szCs w:val="24"/>
          <w:u w:val="none"/>
          <w:lang w:val="en-US" w:eastAsia="zh-CN" w:bidi="ar"/>
        </w:rPr>
        <w:t>报价包括但不限于</w:t>
      </w:r>
      <w:r>
        <w:rPr>
          <w:rFonts w:hint="eastAsia" w:ascii="宋体" w:hAnsi="宋体" w:eastAsia="宋体" w:cs="Times New Roman"/>
          <w:color w:val="auto"/>
          <w:kern w:val="0"/>
          <w:sz w:val="24"/>
          <w:szCs w:val="20"/>
          <w:highlight w:val="none"/>
          <w:lang w:val="en-US" w:eastAsia="zh-CN" w:bidi="ar-SA"/>
        </w:rPr>
        <w:t>：</w:t>
      </w:r>
    </w:p>
    <w:p w14:paraId="78D9EE5C">
      <w:pPr>
        <w:spacing w:line="360" w:lineRule="auto"/>
        <w:ind w:firstLine="480" w:firstLineChars="200"/>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实施和完成本项目全部工作所需的服务费、</w:t>
      </w:r>
      <w:r>
        <w:rPr>
          <w:rFonts w:hint="eastAsia" w:ascii="宋体" w:hAnsi="宋体" w:eastAsia="宋体" w:cs="宋体"/>
          <w:i w:val="0"/>
          <w:iCs w:val="0"/>
          <w:color w:val="auto"/>
          <w:kern w:val="0"/>
          <w:sz w:val="24"/>
          <w:szCs w:val="24"/>
          <w:u w:val="none"/>
          <w:lang w:val="en-US" w:eastAsia="zh-CN" w:bidi="ar"/>
        </w:rPr>
        <w:t>货物费、</w:t>
      </w:r>
      <w:r>
        <w:rPr>
          <w:rFonts w:hint="default" w:ascii="宋体" w:hAnsi="宋体" w:eastAsia="宋体" w:cs="宋体"/>
          <w:i w:val="0"/>
          <w:iCs w:val="0"/>
          <w:color w:val="auto"/>
          <w:kern w:val="0"/>
          <w:sz w:val="24"/>
          <w:szCs w:val="24"/>
          <w:u w:val="none"/>
          <w:lang w:val="en-US" w:eastAsia="zh-CN" w:bidi="ar"/>
        </w:rPr>
        <w:t>人工费、</w:t>
      </w:r>
      <w:r>
        <w:rPr>
          <w:rFonts w:hint="eastAsia" w:ascii="宋体" w:hAnsi="宋体" w:eastAsia="宋体" w:cs="宋体"/>
          <w:i w:val="0"/>
          <w:iCs w:val="0"/>
          <w:color w:val="auto"/>
          <w:kern w:val="0"/>
          <w:sz w:val="24"/>
          <w:szCs w:val="24"/>
          <w:u w:val="none"/>
          <w:lang w:val="en-US" w:eastAsia="zh-CN" w:bidi="ar"/>
        </w:rPr>
        <w:t>培训费、</w:t>
      </w:r>
      <w:r>
        <w:rPr>
          <w:rFonts w:hint="default" w:ascii="宋体" w:hAnsi="宋体" w:eastAsia="宋体" w:cs="宋体"/>
          <w:i w:val="0"/>
          <w:iCs w:val="0"/>
          <w:color w:val="auto"/>
          <w:kern w:val="0"/>
          <w:sz w:val="24"/>
          <w:szCs w:val="24"/>
          <w:u w:val="none"/>
          <w:lang w:val="en-US" w:eastAsia="zh-CN" w:bidi="ar"/>
        </w:rPr>
        <w:t>资料费、管理费、保险、税费、利润</w:t>
      </w:r>
      <w:r>
        <w:rPr>
          <w:rFonts w:hint="eastAsia" w:ascii="宋体" w:hAnsi="宋体" w:eastAsia="宋体" w:cs="宋体"/>
          <w:i w:val="0"/>
          <w:iCs w:val="0"/>
          <w:color w:val="auto"/>
          <w:kern w:val="0"/>
          <w:sz w:val="24"/>
          <w:szCs w:val="24"/>
          <w:u w:val="none"/>
          <w:lang w:val="en-US" w:eastAsia="zh-CN" w:bidi="ar"/>
        </w:rPr>
        <w:t>、售后服务及其他所有成本费用的总和。</w:t>
      </w:r>
    </w:p>
    <w:p w14:paraId="75D8554F">
      <w:pPr>
        <w:spacing w:line="360" w:lineRule="auto"/>
        <w:rPr>
          <w:rFonts w:hint="eastAsia" w:ascii="宋体" w:hAnsi="宋体" w:eastAsia="宋体" w:cs="宋体"/>
          <w:i w:val="0"/>
          <w:iCs w:val="0"/>
          <w:color w:val="auto"/>
          <w:kern w:val="0"/>
          <w:sz w:val="24"/>
          <w:szCs w:val="24"/>
          <w:u w:val="none"/>
          <w:lang w:val="en-US" w:eastAsia="zh-CN" w:bidi="ar"/>
        </w:rPr>
      </w:pPr>
    </w:p>
    <w:p w14:paraId="433DDC75">
      <w:pPr>
        <w:spacing w:line="360" w:lineRule="auto"/>
        <w:rPr>
          <w:rFonts w:hint="eastAsia" w:ascii="宋体" w:hAnsi="宋体" w:eastAsia="宋体" w:cs="宋体"/>
          <w:i w:val="0"/>
          <w:iCs w:val="0"/>
          <w:color w:val="auto"/>
          <w:kern w:val="0"/>
          <w:sz w:val="24"/>
          <w:szCs w:val="24"/>
          <w:u w:val="none"/>
          <w:lang w:val="en-US" w:eastAsia="zh-CN" w:bidi="ar"/>
        </w:rPr>
        <w:sectPr>
          <w:pgSz w:w="16838" w:h="11906" w:orient="landscape"/>
          <w:pgMar w:top="1417" w:right="1134" w:bottom="1417" w:left="1134" w:header="851" w:footer="992" w:gutter="0"/>
          <w:pgNumType w:fmt="decimal"/>
          <w:cols w:space="425" w:num="1"/>
          <w:docGrid w:type="lines" w:linePitch="312" w:charSpace="0"/>
        </w:sectPr>
      </w:pPr>
    </w:p>
    <w:tbl>
      <w:tblPr>
        <w:tblStyle w:val="9"/>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9" w:name="_Toc28023"/>
            <w:bookmarkStart w:id="10" w:name="_Toc14664"/>
            <w:bookmarkStart w:id="11" w:name="_Toc24148"/>
            <w:r>
              <w:rPr>
                <w:rStyle w:val="16"/>
                <w:rFonts w:hint="eastAsia"/>
                <w:lang w:val="en-US" w:eastAsia="zh-CN"/>
              </w:rPr>
              <w:t>产品配置清单</w:t>
            </w:r>
            <w:bookmarkEnd w:id="9"/>
            <w:bookmarkEnd w:id="10"/>
            <w:bookmarkEnd w:id="11"/>
            <w:r>
              <w:rPr>
                <w:rFonts w:hint="eastAsia" w:ascii="宋体" w:hAnsi="宋体" w:eastAsia="宋体" w:cs="宋体"/>
                <w:b/>
                <w:bCs/>
                <w:i w:val="0"/>
                <w:iCs w:val="0"/>
                <w:color w:val="000000"/>
                <w:kern w:val="0"/>
                <w:sz w:val="32"/>
                <w:szCs w:val="32"/>
                <w:u w:val="none"/>
                <w:lang w:val="en-US" w:eastAsia="zh-CN" w:bidi="ar"/>
              </w:rPr>
              <w:t>（套）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3"/>
                <w:lang w:val="en-US" w:eastAsia="zh-CN" w:bidi="ar"/>
              </w:rPr>
              <w:t>本清单合计总价：</w:t>
            </w:r>
            <w:r>
              <w:rPr>
                <w:rStyle w:val="14"/>
                <w:lang w:val="en-US" w:eastAsia="zh-CN" w:bidi="ar"/>
              </w:rPr>
              <w:t xml:space="preserve">      </w:t>
            </w:r>
            <w:r>
              <w:rPr>
                <w:rStyle w:val="13"/>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4"/>
        <w:numPr>
          <w:ilvl w:val="0"/>
          <w:numId w:val="0"/>
        </w:numPr>
        <w:ind w:leftChars="0"/>
      </w:pPr>
    </w:p>
    <w:p w14:paraId="20FFE3FF"/>
    <w:p w14:paraId="69F4B820">
      <w:pPr>
        <w:pStyle w:val="4"/>
        <w:numPr>
          <w:ilvl w:val="0"/>
          <w:numId w:val="0"/>
        </w:numPr>
        <w:ind w:leftChars="0"/>
      </w:pPr>
    </w:p>
    <w:p w14:paraId="3BD2F2D0"/>
    <w:p w14:paraId="320B0927">
      <w:pPr>
        <w:pStyle w:val="4"/>
        <w:numPr>
          <w:ilvl w:val="0"/>
          <w:numId w:val="0"/>
        </w:numPr>
        <w:ind w:leftChars="0"/>
      </w:pPr>
    </w:p>
    <w:p w14:paraId="41A7581B"/>
    <w:p w14:paraId="407E819E">
      <w:pPr>
        <w:pStyle w:val="4"/>
        <w:numPr>
          <w:ilvl w:val="0"/>
          <w:numId w:val="0"/>
        </w:numPr>
        <w:ind w:leftChars="0"/>
      </w:pPr>
    </w:p>
    <w:p w14:paraId="4741E151"/>
    <w:p w14:paraId="6AE0F4CD">
      <w:pPr>
        <w:pStyle w:val="4"/>
        <w:numPr>
          <w:ilvl w:val="0"/>
          <w:numId w:val="0"/>
        </w:numPr>
        <w:ind w:leftChars="0"/>
      </w:pPr>
    </w:p>
    <w:p w14:paraId="0855C87E"/>
    <w:p w14:paraId="1A4D3C68">
      <w:pPr>
        <w:pStyle w:val="4"/>
        <w:numPr>
          <w:ilvl w:val="0"/>
          <w:numId w:val="0"/>
        </w:numPr>
        <w:ind w:leftChars="0"/>
      </w:pPr>
    </w:p>
    <w:p w14:paraId="26057C76"/>
    <w:p w14:paraId="3B5DB500">
      <w:pPr>
        <w:pStyle w:val="2"/>
        <w:bidi w:val="0"/>
        <w:jc w:val="center"/>
        <w:rPr>
          <w:rFonts w:hint="eastAsia"/>
          <w:lang w:val="en-US" w:eastAsia="zh-CN"/>
        </w:rPr>
      </w:pPr>
      <w:bookmarkStart w:id="12" w:name="_Toc19602"/>
      <w:bookmarkStart w:id="13" w:name="_Toc927"/>
      <w:r>
        <w:rPr>
          <w:rFonts w:hint="eastAsia"/>
          <w:lang w:val="en-US" w:eastAsia="zh-CN"/>
        </w:rPr>
        <w:t>技术响应偏离表</w:t>
      </w:r>
      <w:bookmarkEnd w:id="12"/>
      <w:bookmarkEnd w:id="13"/>
    </w:p>
    <w:p w14:paraId="33F595E7">
      <w:pPr>
        <w:rPr>
          <w:rFonts w:hint="default"/>
          <w:lang w:val="en-US" w:eastAsia="zh-CN"/>
        </w:rPr>
      </w:pPr>
      <w:r>
        <w:rPr>
          <w:rFonts w:hint="eastAsia"/>
          <w:lang w:val="en-US" w:eastAsia="zh-CN"/>
        </w:rPr>
        <w:t>产品名称：</w:t>
      </w:r>
    </w:p>
    <w:tbl>
      <w:tblPr>
        <w:tblStyle w:val="9"/>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5"/>
              <w:spacing w:line="400" w:lineRule="exact"/>
              <w:jc w:val="center"/>
            </w:pPr>
            <w:r>
              <w:rPr>
                <w:rFonts w:hint="eastAsia"/>
              </w:rPr>
              <w:t>项号</w:t>
            </w:r>
          </w:p>
        </w:tc>
        <w:tc>
          <w:tcPr>
            <w:tcW w:w="3215" w:type="dxa"/>
            <w:vAlign w:val="center"/>
          </w:tcPr>
          <w:p w14:paraId="5FF8A940">
            <w:pPr>
              <w:pStyle w:val="5"/>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5"/>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5"/>
              <w:spacing w:line="400" w:lineRule="exact"/>
              <w:jc w:val="center"/>
            </w:pPr>
            <w:r>
              <w:rPr>
                <w:rFonts w:hint="eastAsia" w:hAnsi="宋体"/>
              </w:rPr>
              <w:t>响应偏离情况</w:t>
            </w:r>
          </w:p>
        </w:tc>
        <w:tc>
          <w:tcPr>
            <w:tcW w:w="998" w:type="dxa"/>
            <w:vAlign w:val="center"/>
          </w:tcPr>
          <w:p w14:paraId="74731536">
            <w:pPr>
              <w:pStyle w:val="5"/>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5"/>
              <w:spacing w:line="600" w:lineRule="exact"/>
              <w:jc w:val="center"/>
              <w:rPr>
                <w:rFonts w:hint="eastAsia"/>
              </w:rPr>
            </w:pPr>
            <w:r>
              <w:rPr>
                <w:rFonts w:hint="eastAsia"/>
              </w:rPr>
              <w:t>1</w:t>
            </w:r>
          </w:p>
          <w:p w14:paraId="3EC8AB8B">
            <w:pPr>
              <w:pStyle w:val="5"/>
              <w:spacing w:line="600" w:lineRule="exact"/>
              <w:jc w:val="center"/>
            </w:pPr>
          </w:p>
        </w:tc>
        <w:tc>
          <w:tcPr>
            <w:tcW w:w="3215" w:type="dxa"/>
            <w:vAlign w:val="center"/>
          </w:tcPr>
          <w:p w14:paraId="28C0C0BD">
            <w:pPr>
              <w:pStyle w:val="5"/>
              <w:spacing w:line="600" w:lineRule="exact"/>
              <w:jc w:val="center"/>
            </w:pPr>
          </w:p>
        </w:tc>
        <w:tc>
          <w:tcPr>
            <w:tcW w:w="2942" w:type="dxa"/>
          </w:tcPr>
          <w:p w14:paraId="2FC4EB60">
            <w:pPr>
              <w:pStyle w:val="5"/>
              <w:spacing w:line="600" w:lineRule="exact"/>
              <w:jc w:val="center"/>
            </w:pPr>
          </w:p>
        </w:tc>
        <w:tc>
          <w:tcPr>
            <w:tcW w:w="1168" w:type="dxa"/>
            <w:vAlign w:val="center"/>
          </w:tcPr>
          <w:p w14:paraId="5B9DA9D2">
            <w:pPr>
              <w:pStyle w:val="5"/>
              <w:spacing w:line="600" w:lineRule="exact"/>
              <w:jc w:val="center"/>
            </w:pPr>
          </w:p>
        </w:tc>
        <w:tc>
          <w:tcPr>
            <w:tcW w:w="998" w:type="dxa"/>
            <w:vAlign w:val="center"/>
          </w:tcPr>
          <w:p w14:paraId="228749CB">
            <w:pPr>
              <w:pStyle w:val="5"/>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5"/>
              <w:spacing w:line="600" w:lineRule="exact"/>
              <w:jc w:val="center"/>
            </w:pPr>
          </w:p>
        </w:tc>
        <w:tc>
          <w:tcPr>
            <w:tcW w:w="3215" w:type="dxa"/>
          </w:tcPr>
          <w:p w14:paraId="0A21D835">
            <w:pPr>
              <w:pStyle w:val="5"/>
              <w:spacing w:line="600" w:lineRule="exact"/>
            </w:pPr>
          </w:p>
        </w:tc>
        <w:tc>
          <w:tcPr>
            <w:tcW w:w="2942" w:type="dxa"/>
          </w:tcPr>
          <w:p w14:paraId="3EF7C9B6">
            <w:pPr>
              <w:pStyle w:val="5"/>
              <w:spacing w:line="600" w:lineRule="exact"/>
            </w:pPr>
          </w:p>
        </w:tc>
        <w:tc>
          <w:tcPr>
            <w:tcW w:w="1168" w:type="dxa"/>
          </w:tcPr>
          <w:p w14:paraId="7676AABA">
            <w:pPr>
              <w:pStyle w:val="5"/>
              <w:spacing w:line="600" w:lineRule="exact"/>
            </w:pPr>
          </w:p>
        </w:tc>
        <w:tc>
          <w:tcPr>
            <w:tcW w:w="998" w:type="dxa"/>
          </w:tcPr>
          <w:p w14:paraId="3CDA5972">
            <w:pPr>
              <w:pStyle w:val="5"/>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5"/>
              <w:spacing w:line="600" w:lineRule="exact"/>
              <w:jc w:val="center"/>
            </w:pPr>
          </w:p>
        </w:tc>
        <w:tc>
          <w:tcPr>
            <w:tcW w:w="3215" w:type="dxa"/>
          </w:tcPr>
          <w:p w14:paraId="2CF01FD5">
            <w:pPr>
              <w:pStyle w:val="5"/>
              <w:spacing w:line="600" w:lineRule="exact"/>
            </w:pPr>
          </w:p>
        </w:tc>
        <w:tc>
          <w:tcPr>
            <w:tcW w:w="2942" w:type="dxa"/>
          </w:tcPr>
          <w:p w14:paraId="3D7E725A">
            <w:pPr>
              <w:pStyle w:val="5"/>
              <w:spacing w:line="600" w:lineRule="exact"/>
            </w:pPr>
          </w:p>
        </w:tc>
        <w:tc>
          <w:tcPr>
            <w:tcW w:w="1168" w:type="dxa"/>
          </w:tcPr>
          <w:p w14:paraId="2AF2DB7D">
            <w:pPr>
              <w:pStyle w:val="5"/>
              <w:spacing w:line="600" w:lineRule="exact"/>
            </w:pPr>
          </w:p>
        </w:tc>
        <w:tc>
          <w:tcPr>
            <w:tcW w:w="998" w:type="dxa"/>
          </w:tcPr>
          <w:p w14:paraId="3BC5A02E">
            <w:pPr>
              <w:pStyle w:val="5"/>
              <w:spacing w:line="600" w:lineRule="exact"/>
            </w:pPr>
          </w:p>
        </w:tc>
      </w:tr>
    </w:tbl>
    <w:p w14:paraId="2DF079AB">
      <w:pPr>
        <w:pStyle w:val="5"/>
        <w:spacing w:line="400" w:lineRule="atLeast"/>
        <w:jc w:val="left"/>
        <w:rPr>
          <w:rFonts w:hint="eastAsia"/>
          <w:b/>
        </w:rPr>
      </w:pPr>
    </w:p>
    <w:p w14:paraId="512B9AFB">
      <w:pPr>
        <w:pStyle w:val="5"/>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4"/>
        <w:sectPr>
          <w:pgSz w:w="11906" w:h="16838"/>
          <w:pgMar w:top="1134" w:right="1417" w:bottom="1134" w:left="1417" w:header="851" w:footer="992" w:gutter="0"/>
          <w:pgNumType w:fmt="decimal"/>
          <w:cols w:space="425" w:num="1"/>
          <w:docGrid w:type="lines" w:linePitch="312" w:charSpace="0"/>
        </w:sectPr>
      </w:pPr>
    </w:p>
    <w:p w14:paraId="19D14DA9">
      <w:pPr>
        <w:pStyle w:val="2"/>
        <w:bidi w:val="0"/>
        <w:jc w:val="center"/>
        <w:rPr>
          <w:rFonts w:hint="eastAsia"/>
          <w:lang w:val="en-US" w:eastAsia="zh-CN"/>
        </w:rPr>
      </w:pPr>
      <w:bookmarkStart w:id="14" w:name="_Toc24723"/>
      <w:bookmarkStart w:id="15" w:name="_Toc505"/>
      <w:bookmarkStart w:id="16" w:name="_Toc16948"/>
      <w:r>
        <w:rPr>
          <w:rFonts w:hint="eastAsia"/>
          <w:lang w:val="en-US" w:eastAsia="zh-CN"/>
        </w:rPr>
        <w:t>产品技术参数</w:t>
      </w:r>
      <w:bookmarkEnd w:id="14"/>
      <w:bookmarkEnd w:id="15"/>
      <w:bookmarkEnd w:id="16"/>
    </w:p>
    <w:p w14:paraId="7E144DE3"/>
    <w:p w14:paraId="4DE2DE05"/>
    <w:p w14:paraId="24E73B3E"/>
    <w:p w14:paraId="6B4155C1"/>
    <w:p w14:paraId="25E1E324"/>
    <w:p w14:paraId="1BBA0C7D"/>
    <w:p w14:paraId="5450B9FA"/>
    <w:p w14:paraId="70007983"/>
    <w:p w14:paraId="5327AC59"/>
    <w:p w14:paraId="1710E0D6"/>
    <w:p w14:paraId="4195F64D">
      <w:pPr>
        <w:pStyle w:val="4"/>
        <w:numPr>
          <w:ilvl w:val="0"/>
          <w:numId w:val="0"/>
        </w:numPr>
        <w:ind w:leftChars="0"/>
      </w:pPr>
    </w:p>
    <w:p w14:paraId="05ADCC68"/>
    <w:p w14:paraId="2599EFE6">
      <w:pPr>
        <w:pStyle w:val="4"/>
        <w:numPr>
          <w:ilvl w:val="0"/>
          <w:numId w:val="0"/>
        </w:numPr>
        <w:ind w:leftChars="0"/>
      </w:pPr>
    </w:p>
    <w:p w14:paraId="3FC91F85"/>
    <w:p w14:paraId="398C6269">
      <w:pPr>
        <w:pStyle w:val="4"/>
        <w:numPr>
          <w:ilvl w:val="0"/>
          <w:numId w:val="0"/>
        </w:numPr>
        <w:ind w:leftChars="0"/>
      </w:pPr>
    </w:p>
    <w:p w14:paraId="22CAB80C"/>
    <w:p w14:paraId="54E0B63E"/>
    <w:p w14:paraId="35EC6E36">
      <w:pPr>
        <w:pStyle w:val="4"/>
        <w:numPr>
          <w:ilvl w:val="0"/>
          <w:numId w:val="0"/>
        </w:numPr>
        <w:ind w:leftChars="0"/>
      </w:pPr>
    </w:p>
    <w:p w14:paraId="262515F7"/>
    <w:p w14:paraId="47116DA5">
      <w:pPr>
        <w:pStyle w:val="4"/>
        <w:numPr>
          <w:ilvl w:val="0"/>
          <w:numId w:val="0"/>
        </w:numPr>
        <w:ind w:leftChars="0"/>
      </w:pPr>
    </w:p>
    <w:p w14:paraId="70C810DA"/>
    <w:p w14:paraId="07A3630A">
      <w:pPr>
        <w:pStyle w:val="4"/>
        <w:numPr>
          <w:ilvl w:val="0"/>
          <w:numId w:val="0"/>
        </w:numPr>
        <w:ind w:leftChars="0"/>
      </w:pPr>
    </w:p>
    <w:p w14:paraId="49F23DF5"/>
    <w:p w14:paraId="0D626B5B">
      <w:pPr>
        <w:pStyle w:val="4"/>
        <w:numPr>
          <w:ilvl w:val="0"/>
          <w:numId w:val="0"/>
        </w:numPr>
        <w:ind w:leftChars="0"/>
      </w:pPr>
    </w:p>
    <w:p w14:paraId="3E7FBD13"/>
    <w:p w14:paraId="7FE37C38">
      <w:pPr>
        <w:pStyle w:val="4"/>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2"/>
        <w:bidi w:val="0"/>
        <w:jc w:val="center"/>
        <w:rPr>
          <w:rFonts w:hint="eastAsia"/>
          <w:lang w:val="en-US" w:eastAsia="zh-CN"/>
        </w:rPr>
      </w:pPr>
      <w:bookmarkStart w:id="17" w:name="_Toc10300"/>
      <w:bookmarkStart w:id="18" w:name="_Toc17064"/>
      <w:bookmarkStart w:id="19" w:name="_Toc19504"/>
      <w:r>
        <w:rPr>
          <w:rFonts w:hint="eastAsia"/>
          <w:lang w:val="en-US" w:eastAsia="zh-CN"/>
        </w:rPr>
        <w:t>产品主要功能特点</w:t>
      </w:r>
      <w:bookmarkEnd w:id="17"/>
      <w:bookmarkEnd w:id="18"/>
      <w:bookmarkEnd w:id="19"/>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2"/>
        <w:bidi w:val="0"/>
        <w:jc w:val="center"/>
        <w:rPr>
          <w:rFonts w:hint="eastAsia"/>
          <w:lang w:val="en-US" w:eastAsia="zh-CN"/>
        </w:rPr>
      </w:pPr>
      <w:bookmarkStart w:id="20" w:name="_Toc25902"/>
      <w:bookmarkStart w:id="21" w:name="_Toc21343"/>
      <w:bookmarkStart w:id="22" w:name="_Toc10696"/>
      <w:r>
        <w:rPr>
          <w:rFonts w:hint="eastAsia"/>
          <w:lang w:val="en-US" w:eastAsia="zh-CN"/>
        </w:rPr>
        <w:t>产品彩页介绍</w:t>
      </w:r>
      <w:bookmarkEnd w:id="20"/>
      <w:bookmarkEnd w:id="21"/>
      <w:bookmarkEnd w:id="22"/>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4"/>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4"/>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4"/>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4"/>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4"/>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4"/>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4"/>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4"/>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4"/>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2"/>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3" w:name="_Toc9234"/>
      <w:bookmarkStart w:id="24" w:name="_Toc10698"/>
      <w:bookmarkStart w:id="25" w:name="_Toc199"/>
      <w:r>
        <w:rPr>
          <w:rFonts w:hint="eastAsia"/>
          <w:lang w:val="en-US" w:eastAsia="zh-CN"/>
        </w:rPr>
        <w:t>产品售后服务方案</w:t>
      </w:r>
      <w:bookmarkEnd w:id="23"/>
      <w:bookmarkEnd w:id="24"/>
      <w:bookmarkEnd w:id="25"/>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w:t>
      </w:r>
      <w:r>
        <w:rPr>
          <w:rFonts w:hint="default" w:asciiTheme="minorEastAsia" w:hAnsiTheme="minorEastAsia" w:eastAsiaTheme="minorEastAsia" w:cstheme="minorEastAsia"/>
          <w:b/>
          <w:bCs/>
          <w:sz w:val="32"/>
          <w:szCs w:val="32"/>
          <w:lang w:val="en-US" w:eastAsia="zh-CN"/>
        </w:rPr>
        <w:t>免费维护服务</w:t>
      </w:r>
      <w:r>
        <w:rPr>
          <w:rFonts w:hint="eastAsia" w:asciiTheme="minorEastAsia" w:hAnsiTheme="minorEastAsia" w:eastAsiaTheme="minorEastAsia" w:cstheme="minorEastAsia"/>
          <w:b/>
          <w:bCs/>
          <w:sz w:val="32"/>
          <w:szCs w:val="32"/>
          <w:lang w:val="en-US" w:eastAsia="zh-CN"/>
        </w:rPr>
        <w:t>期、送货期、维修方案）</w:t>
      </w:r>
    </w:p>
    <w:p w14:paraId="43AAD60C">
      <w:pPr>
        <w:rPr>
          <w:rFonts w:hint="eastAsia"/>
          <w:lang w:val="en-US" w:eastAsia="zh-CN"/>
        </w:rPr>
      </w:pPr>
    </w:p>
    <w:p w14:paraId="410A6116">
      <w:pPr>
        <w:rPr>
          <w:rFonts w:hint="eastAsia"/>
          <w:lang w:val="en-US" w:eastAsia="zh-CN"/>
        </w:rPr>
      </w:pPr>
    </w:p>
    <w:p w14:paraId="6D04F1E4">
      <w:pPr>
        <w:numPr>
          <w:ilvl w:val="0"/>
          <w:numId w:val="2"/>
        </w:numPr>
        <w:bidi w:val="0"/>
        <w:ind w:left="425" w:leftChars="0" w:hanging="425" w:firstLineChars="0"/>
        <w:outlineLvl w:val="0"/>
        <w:rPr>
          <w:rFonts w:hint="eastAsia" w:eastAsia="宋体"/>
          <w:sz w:val="32"/>
          <w:szCs w:val="32"/>
          <w:lang w:val="en-US" w:eastAsia="zh-CN"/>
        </w:rPr>
      </w:pPr>
      <w:bookmarkStart w:id="26" w:name="_Toc14808"/>
      <w:bookmarkStart w:id="27" w:name="_Toc14593"/>
      <w:r>
        <w:rPr>
          <w:rFonts w:hint="default" w:eastAsia="宋体"/>
          <w:sz w:val="32"/>
          <w:szCs w:val="32"/>
          <w:lang w:val="en-US" w:eastAsia="zh-CN"/>
        </w:rPr>
        <w:t>系统设施及配套设备提供的免费维护服务期</w:t>
      </w:r>
      <w:r>
        <w:rPr>
          <w:rFonts w:hint="eastAsia" w:eastAsia="宋体"/>
          <w:sz w:val="32"/>
          <w:szCs w:val="32"/>
          <w:lang w:val="en-US" w:eastAsia="zh-CN"/>
        </w:rPr>
        <w:t>；</w:t>
      </w:r>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bookmarkEnd w:id="26"/>
      <w:bookmarkEnd w:id="27"/>
      <w:r>
        <w:rPr>
          <w:rFonts w:hint="eastAsia"/>
          <w:sz w:val="32"/>
          <w:szCs w:val="32"/>
          <w:lang w:val="en-US" w:eastAsia="zh-CN"/>
        </w:rPr>
        <w:t>；</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4"/>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4"/>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4"/>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4"/>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4"/>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4"/>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4"/>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4"/>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4"/>
        <w:numPr>
          <w:ilvl w:val="0"/>
          <w:numId w:val="0"/>
        </w:numPr>
        <w:ind w:leftChars="0"/>
        <w:rPr>
          <w:rFonts w:hint="eastAsia"/>
          <w:lang w:val="en-US" w:eastAsia="zh-CN"/>
        </w:rPr>
      </w:pPr>
    </w:p>
    <w:p w14:paraId="75C355EF">
      <w:pPr>
        <w:pStyle w:val="2"/>
        <w:bidi w:val="0"/>
        <w:jc w:val="center"/>
        <w:rPr>
          <w:rFonts w:hint="eastAsia"/>
          <w:lang w:val="en-US" w:eastAsia="zh-CN"/>
        </w:rPr>
      </w:pPr>
      <w:bookmarkStart w:id="28" w:name="_Toc14312"/>
      <w:bookmarkStart w:id="29" w:name="_Toc28742"/>
      <w:bookmarkStart w:id="30" w:name="_Toc3223"/>
      <w:r>
        <w:rPr>
          <w:rFonts w:hint="eastAsia"/>
          <w:lang w:val="en-US" w:eastAsia="zh-CN"/>
        </w:rPr>
        <w:t>场地安装要求</w:t>
      </w:r>
      <w:bookmarkEnd w:id="28"/>
      <w:bookmarkEnd w:id="29"/>
      <w:bookmarkEnd w:id="30"/>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4"/>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4"/>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4"/>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4"/>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4"/>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4"/>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2"/>
        <w:bidi w:val="0"/>
        <w:jc w:val="center"/>
        <w:rPr>
          <w:rFonts w:hint="eastAsia" w:eastAsia="宋体"/>
          <w:lang w:val="en-US" w:eastAsia="zh-CN"/>
        </w:rPr>
      </w:pPr>
      <w:bookmarkStart w:id="31" w:name="_Toc25890"/>
      <w:bookmarkStart w:id="32" w:name="_Toc15743"/>
      <w:r>
        <w:rPr>
          <w:rFonts w:hint="eastAsia" w:eastAsia="宋体"/>
          <w:lang w:val="en-US" w:eastAsia="zh-CN"/>
        </w:rPr>
        <w:t>承诺书</w:t>
      </w:r>
      <w:bookmarkEnd w:id="31"/>
      <w:bookmarkEnd w:id="32"/>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3" w:name="_Toc24562"/>
      <w:bookmarkStart w:id="34" w:name="_Toc15767"/>
      <w:bookmarkStart w:id="35" w:name="_Toc9193"/>
      <w:r>
        <w:rPr>
          <w:rFonts w:hint="eastAsia" w:ascii="仿宋" w:hAnsi="仿宋" w:eastAsia="仿宋"/>
          <w:sz w:val="28"/>
          <w:szCs w:val="28"/>
        </w:rPr>
        <w:t>七、不进行虛假、恶意投诉或以其他方式扰乱政府采购市场秩序。</w:t>
      </w:r>
      <w:bookmarkEnd w:id="33"/>
      <w:bookmarkEnd w:id="34"/>
      <w:bookmarkEnd w:id="35"/>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6" w:name="_Toc6695"/>
      <w:bookmarkStart w:id="37" w:name="_Toc28043"/>
      <w:bookmarkStart w:id="38" w:name="_Toc126"/>
      <w:r>
        <w:rPr>
          <w:rFonts w:hint="eastAsia"/>
          <w:lang w:val="en-US" w:eastAsia="zh-CN"/>
        </w:rPr>
        <w:t>（本次推荐型号）产品在广西省内</w:t>
      </w:r>
      <w:bookmarkEnd w:id="36"/>
      <w:bookmarkEnd w:id="37"/>
      <w:bookmarkEnd w:id="38"/>
    </w:p>
    <w:p w14:paraId="38C7D341">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39" w:name="_Toc22353"/>
      <w:bookmarkStart w:id="40" w:name="_Toc17731"/>
      <w:bookmarkStart w:id="41" w:name="_Toc9018"/>
      <w:bookmarkStart w:id="42" w:name="_Toc32669"/>
      <w:r>
        <w:rPr>
          <w:rFonts w:hint="eastAsia"/>
          <w:lang w:val="en-US" w:eastAsia="zh-CN"/>
        </w:rPr>
        <w:t>主要用户名单</w:t>
      </w:r>
      <w:bookmarkEnd w:id="39"/>
      <w:bookmarkEnd w:id="40"/>
      <w:bookmarkEnd w:id="41"/>
      <w:r>
        <w:rPr>
          <w:rFonts w:hint="eastAsia"/>
          <w:lang w:val="en-US" w:eastAsia="zh-CN"/>
        </w:rPr>
        <w:t>及中标价钱（2023年至今）</w:t>
      </w:r>
      <w:bookmarkEnd w:id="42"/>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12"/>
        <w:rPr>
          <w:rFonts w:hint="eastAsia" w:ascii="宋体" w:hAnsi="宋体" w:eastAsia="宋体" w:cs="宋体"/>
          <w:b/>
          <w:bCs/>
          <w:sz w:val="32"/>
          <w:szCs w:val="32"/>
          <w:lang w:val="en-US" w:eastAsia="zh-CN"/>
        </w:rPr>
      </w:pPr>
    </w:p>
    <w:p w14:paraId="2C4BEE2D">
      <w:pPr>
        <w:pStyle w:val="2"/>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3" w:name="_Toc26811"/>
      <w:r>
        <w:rPr>
          <w:rFonts w:hint="eastAsia"/>
          <w:lang w:val="en-US" w:eastAsia="zh-CN"/>
        </w:rPr>
        <w:t>相关资质</w:t>
      </w:r>
      <w:bookmarkEnd w:id="43"/>
    </w:p>
    <w:p w14:paraId="2B158FA9">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产品授权书等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4"/>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69497499"/>
    <w:multiLevelType w:val="singleLevel"/>
    <w:tmpl w:val="6949749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8670714"/>
    <w:rsid w:val="1AE641A2"/>
    <w:rsid w:val="1BD45C69"/>
    <w:rsid w:val="1DEB4333"/>
    <w:rsid w:val="26EE7F6B"/>
    <w:rsid w:val="2B4524AD"/>
    <w:rsid w:val="30B301B6"/>
    <w:rsid w:val="31DC4BC5"/>
    <w:rsid w:val="348F0527"/>
    <w:rsid w:val="34997445"/>
    <w:rsid w:val="3F467216"/>
    <w:rsid w:val="414508EB"/>
    <w:rsid w:val="4A0C5721"/>
    <w:rsid w:val="4B9C0724"/>
    <w:rsid w:val="4F93638F"/>
    <w:rsid w:val="50A33A23"/>
    <w:rsid w:val="53611E87"/>
    <w:rsid w:val="56DC7FA2"/>
    <w:rsid w:val="57674970"/>
    <w:rsid w:val="5D1C2FF0"/>
    <w:rsid w:val="5D335644"/>
    <w:rsid w:val="5E230A83"/>
    <w:rsid w:val="62FF4946"/>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qFormat/>
    <w:uiPriority w:val="0"/>
    <w:pPr>
      <w:numPr>
        <w:ilvl w:val="0"/>
        <w:numId w:val="1"/>
      </w:numPr>
      <w:tabs>
        <w:tab w:val="clear" w:pos="839"/>
      </w:tabs>
      <w:spacing w:after="120"/>
      <w:ind w:left="0" w:firstLine="0"/>
    </w:pPr>
  </w:style>
  <w:style w:type="paragraph" w:styleId="5">
    <w:name w:val="Plain Text"/>
    <w:basedOn w:val="1"/>
    <w:qFormat/>
    <w:uiPriority w:val="99"/>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首行缩进"/>
    <w:basedOn w:val="1"/>
    <w:autoRedefine/>
    <w:qFormat/>
    <w:uiPriority w:val="0"/>
    <w:pPr>
      <w:ind w:firstLine="480" w:firstLineChars="200"/>
    </w:pPr>
  </w:style>
  <w:style w:type="character" w:customStyle="1" w:styleId="13">
    <w:name w:val="font31"/>
    <w:basedOn w:val="11"/>
    <w:qFormat/>
    <w:uiPriority w:val="0"/>
    <w:rPr>
      <w:rFonts w:hint="eastAsia" w:ascii="宋体" w:hAnsi="宋体" w:eastAsia="宋体" w:cs="宋体"/>
      <w:b/>
      <w:bCs/>
      <w:color w:val="000000"/>
      <w:sz w:val="32"/>
      <w:szCs w:val="32"/>
      <w:u w:val="none"/>
    </w:rPr>
  </w:style>
  <w:style w:type="character" w:customStyle="1" w:styleId="14">
    <w:name w:val="font71"/>
    <w:basedOn w:val="11"/>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2"/>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1516</Words>
  <Characters>1530</Characters>
  <Lines>0</Lines>
  <Paragraphs>0</Paragraphs>
  <TotalTime>2</TotalTime>
  <ScaleCrop>false</ScaleCrop>
  <LinksUpToDate>false</LinksUpToDate>
  <CharactersWithSpaces>1623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2026-08-06T01:44:08Z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